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仿宋"/>
          <w:b/>
          <w:bCs/>
          <w:color w:val="000000" w:themeColor="text1"/>
          <w:sz w:val="52"/>
          <w:szCs w:val="52"/>
          <w14:textFill>
            <w14:solidFill>
              <w14:schemeClr w14:val="tx1"/>
            </w14:solidFill>
          </w14:textFill>
        </w:rPr>
      </w:pPr>
      <w:bookmarkStart w:id="0" w:name="_Toc19535"/>
      <w:bookmarkStart w:id="1" w:name="_Toc23403"/>
      <w:bookmarkStart w:id="7" w:name="_GoBack"/>
      <w:bookmarkEnd w:id="7"/>
    </w:p>
    <w:p>
      <w:pPr>
        <w:rPr>
          <w:rFonts w:ascii="黑体" w:hAnsi="黑体" w:eastAsia="黑体" w:cs="仿宋"/>
          <w:b/>
          <w:bCs/>
          <w:color w:val="000000" w:themeColor="text1"/>
          <w:sz w:val="52"/>
          <w:szCs w:val="52"/>
          <w14:textFill>
            <w14:solidFill>
              <w14:schemeClr w14:val="tx1"/>
            </w14:solidFill>
          </w14:textFill>
        </w:rPr>
      </w:pPr>
    </w:p>
    <w:p>
      <w:pPr>
        <w:rPr>
          <w:rFonts w:ascii="黑体" w:hAnsi="黑体" w:eastAsia="黑体" w:cs="仿宋"/>
          <w:b/>
          <w:bCs/>
          <w:color w:val="000000" w:themeColor="text1"/>
          <w:sz w:val="52"/>
          <w:szCs w:val="52"/>
          <w14:textFill>
            <w14:solidFill>
              <w14:schemeClr w14:val="tx1"/>
            </w14:solidFill>
          </w14:textFill>
        </w:rPr>
      </w:pPr>
    </w:p>
    <w:p>
      <w:pPr>
        <w:jc w:val="center"/>
        <w:rPr>
          <w:rFonts w:ascii="黑体" w:hAnsi="黑体" w:eastAsia="黑体" w:cs="仿宋"/>
          <w:b/>
          <w:bCs/>
          <w:color w:val="000000" w:themeColor="text1"/>
          <w:sz w:val="52"/>
          <w:szCs w:val="52"/>
          <w14:textFill>
            <w14:solidFill>
              <w14:schemeClr w14:val="tx1"/>
            </w14:solidFill>
          </w14:textFill>
        </w:rPr>
      </w:pPr>
      <w:r>
        <w:rPr>
          <w:rFonts w:ascii="黑体" w:hAnsi="黑体" w:eastAsia="黑体" w:cs="仿宋"/>
          <w:b/>
          <w:bCs/>
          <w:color w:val="000000" w:themeColor="text1"/>
          <w:sz w:val="52"/>
          <w:szCs w:val="52"/>
          <w14:textFill>
            <w14:solidFill>
              <w14:schemeClr w14:val="tx1"/>
            </w14:solidFill>
          </w14:textFill>
        </w:rPr>
        <w:t>发票管理与应用功能</w:t>
      </w:r>
    </w:p>
    <w:p>
      <w:pPr>
        <w:jc w:val="center"/>
        <w:rPr>
          <w:rFonts w:ascii="黑体" w:hAnsi="黑体" w:eastAsia="黑体" w:cs="仿宋"/>
          <w:b/>
          <w:bCs/>
          <w:color w:val="000000" w:themeColor="text1"/>
          <w:sz w:val="52"/>
          <w:szCs w:val="52"/>
          <w14:textFill>
            <w14:solidFill>
              <w14:schemeClr w14:val="tx1"/>
            </w14:solidFill>
          </w14:textFill>
        </w:rPr>
      </w:pPr>
      <w:r>
        <w:rPr>
          <w:rFonts w:hint="eastAsia" w:ascii="黑体" w:hAnsi="黑体" w:eastAsia="黑体" w:cs="仿宋"/>
          <w:b/>
          <w:bCs/>
          <w:color w:val="000000" w:themeColor="text1"/>
          <w:sz w:val="52"/>
          <w:szCs w:val="52"/>
          <w14:textFill>
            <w14:solidFill>
              <w14:schemeClr w14:val="tx1"/>
            </w14:solidFill>
          </w14:textFill>
        </w:rPr>
        <w:t>操作手册</w:t>
      </w:r>
      <w:bookmarkEnd w:id="0"/>
      <w:bookmarkEnd w:id="1"/>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ascii="黑体" w:hAnsi="黑体" w:eastAsia="黑体"/>
          <w:color w:val="000000" w:themeColor="text1"/>
          <w:sz w:val="30"/>
          <w:szCs w:val="30"/>
          <w14:textFill>
            <w14:solidFill>
              <w14:schemeClr w14:val="tx1"/>
            </w14:solidFill>
          </w14:textFill>
        </w:rPr>
      </w:pPr>
    </w:p>
    <w:p>
      <w:pPr>
        <w:rPr>
          <w:rFonts w:ascii="黑体" w:hAnsi="黑体" w:eastAsia="黑体" w:cs="仿宋"/>
          <w:color w:val="000000" w:themeColor="text1"/>
          <w:sz w:val="30"/>
          <w:szCs w:val="30"/>
          <w14:textFill>
            <w14:solidFill>
              <w14:schemeClr w14:val="tx1"/>
            </w14:solidFill>
          </w14:textFill>
        </w:rPr>
      </w:pPr>
    </w:p>
    <w:p>
      <w:pPr>
        <w:rPr>
          <w:rFonts w:ascii="黑体" w:hAnsi="黑体" w:eastAsia="黑体" w:cs="仿宋"/>
          <w:color w:val="000000" w:themeColor="text1"/>
          <w:sz w:val="30"/>
          <w:szCs w:val="30"/>
          <w14:textFill>
            <w14:solidFill>
              <w14:schemeClr w14:val="tx1"/>
            </w14:solidFill>
          </w14:textFill>
        </w:rPr>
      </w:pPr>
    </w:p>
    <w:p>
      <w:pPr>
        <w:jc w:val="center"/>
        <w:rPr>
          <w:rFonts w:ascii="黑体" w:hAnsi="黑体" w:eastAsia="黑体" w:cs="仿宋"/>
          <w:color w:val="000000" w:themeColor="text1"/>
          <w:sz w:val="30"/>
          <w:szCs w:val="30"/>
          <w14:textFill>
            <w14:solidFill>
              <w14:schemeClr w14:val="tx1"/>
            </w14:solidFill>
          </w14:textFill>
        </w:rPr>
      </w:pPr>
      <w:r>
        <w:rPr>
          <w:rFonts w:hint="eastAsia" w:ascii="黑体" w:hAnsi="黑体" w:eastAsia="黑体" w:cs="仿宋"/>
          <w:color w:val="000000" w:themeColor="text1"/>
          <w:sz w:val="30"/>
          <w:szCs w:val="30"/>
          <w14:textFill>
            <w14:solidFill>
              <w14:schemeClr w14:val="tx1"/>
            </w14:solidFill>
          </w14:textFill>
        </w:rPr>
        <w:t>20</w:t>
      </w:r>
      <w:r>
        <w:rPr>
          <w:rFonts w:ascii="黑体" w:hAnsi="黑体" w:eastAsia="黑体" w:cs="仿宋"/>
          <w:color w:val="000000" w:themeColor="text1"/>
          <w:sz w:val="30"/>
          <w:szCs w:val="30"/>
          <w14:textFill>
            <w14:solidFill>
              <w14:schemeClr w14:val="tx1"/>
            </w14:solidFill>
          </w14:textFill>
        </w:rPr>
        <w:t>22</w:t>
      </w:r>
      <w:r>
        <w:rPr>
          <w:rFonts w:hint="eastAsia" w:ascii="黑体" w:hAnsi="黑体" w:eastAsia="黑体" w:cs="仿宋"/>
          <w:color w:val="000000" w:themeColor="text1"/>
          <w:sz w:val="30"/>
          <w:szCs w:val="30"/>
          <w14:textFill>
            <w14:solidFill>
              <w14:schemeClr w14:val="tx1"/>
            </w14:solidFill>
          </w14:textFill>
        </w:rPr>
        <w:t>.</w:t>
      </w:r>
      <w:r>
        <w:rPr>
          <w:rFonts w:ascii="黑体" w:hAnsi="黑体" w:eastAsia="黑体" w:cs="仿宋"/>
          <w:color w:val="000000" w:themeColor="text1"/>
          <w:sz w:val="30"/>
          <w:szCs w:val="30"/>
          <w14:textFill>
            <w14:solidFill>
              <w14:schemeClr w14:val="tx1"/>
            </w14:solidFill>
          </w14:textFill>
        </w:rPr>
        <w:t>7</w:t>
      </w:r>
      <w:r>
        <w:rPr>
          <w:rFonts w:hint="eastAsia" w:ascii="黑体" w:hAnsi="黑体" w:eastAsia="黑体" w:cs="仿宋"/>
          <w:color w:val="000000" w:themeColor="text1"/>
          <w:sz w:val="30"/>
          <w:szCs w:val="30"/>
          <w14:textFill>
            <w14:solidFill>
              <w14:schemeClr w14:val="tx1"/>
            </w14:solidFill>
          </w14:textFill>
        </w:rPr>
        <w:t>.1</w:t>
      </w:r>
    </w:p>
    <w:p>
      <w:pPr>
        <w:rPr>
          <w:rFonts w:ascii="黑体" w:hAnsi="黑体" w:eastAsia="黑体" w:cs="仿宋"/>
          <w:color w:val="000000" w:themeColor="text1"/>
          <w:sz w:val="30"/>
          <w:szCs w:val="30"/>
          <w14:textFill>
            <w14:solidFill>
              <w14:schemeClr w14:val="tx1"/>
            </w14:solidFill>
          </w14:textFill>
        </w:rPr>
      </w:pPr>
    </w:p>
    <w:p>
      <w:pPr>
        <w:rPr>
          <w:rFonts w:ascii="黑体" w:hAnsi="黑体" w:eastAsia="黑体" w:cs="仿宋"/>
          <w:color w:val="000000" w:themeColor="text1"/>
          <w:sz w:val="30"/>
          <w:szCs w:val="30"/>
          <w14:textFill>
            <w14:solidFill>
              <w14:schemeClr w14:val="tx1"/>
            </w14:solidFill>
          </w14:textFill>
        </w:rPr>
      </w:pPr>
    </w:p>
    <w:p>
      <w:pPr>
        <w:rPr>
          <w:rFonts w:ascii="黑体" w:hAnsi="黑体" w:eastAsia="黑体" w:cs="仿宋"/>
          <w:color w:val="000000" w:themeColor="text1"/>
          <w:sz w:val="30"/>
          <w:szCs w:val="30"/>
          <w14:textFill>
            <w14:solidFill>
              <w14:schemeClr w14:val="tx1"/>
            </w14:solidFill>
          </w14:textFill>
        </w:rPr>
      </w:pPr>
    </w:p>
    <w:p>
      <w:pPr>
        <w:widowControl/>
        <w:jc w:val="left"/>
      </w:pPr>
      <w:r>
        <w:rPr>
          <w:rFonts w:hint="eastAsia" w:ascii="仿宋" w:hAnsi="仿宋" w:eastAsia="仿宋" w:cs="仿宋"/>
          <w:b/>
          <w:color w:val="000000" w:themeColor="text1"/>
          <w:sz w:val="44"/>
          <w:szCs w:val="44"/>
          <w14:textFill>
            <w14:solidFill>
              <w14:schemeClr w14:val="tx1"/>
            </w14:solidFill>
          </w14:textFill>
        </w:rPr>
        <w:t>目 录</w:t>
      </w:r>
      <w:r>
        <w:rPr>
          <w:rFonts w:ascii="仿宋" w:hAnsi="仿宋" w:eastAsia="仿宋" w:cs="仿宋"/>
          <w:b/>
          <w:color w:val="000000" w:themeColor="text1"/>
          <w:sz w:val="44"/>
          <w:szCs w:val="44"/>
          <w14:textFill>
            <w14:solidFill>
              <w14:schemeClr w14:val="tx1"/>
            </w14:solidFill>
          </w14:textFill>
        </w:rPr>
        <w:fldChar w:fldCharType="begin"/>
      </w:r>
      <w:r>
        <w:rPr>
          <w:rFonts w:ascii="仿宋" w:hAnsi="仿宋" w:eastAsia="仿宋" w:cs="仿宋"/>
          <w:b/>
          <w:color w:val="000000" w:themeColor="text1"/>
          <w:sz w:val="44"/>
          <w:szCs w:val="44"/>
          <w14:textFill>
            <w14:solidFill>
              <w14:schemeClr w14:val="tx1"/>
            </w14:solidFill>
          </w14:textFill>
        </w:rPr>
        <w:instrText xml:space="preserve"> TOC \o "1-3" \h \z \u </w:instrText>
      </w:r>
      <w:r>
        <w:rPr>
          <w:rFonts w:ascii="仿宋" w:hAnsi="仿宋" w:eastAsia="仿宋" w:cs="仿宋"/>
          <w:b/>
          <w:color w:val="000000" w:themeColor="text1"/>
          <w:sz w:val="44"/>
          <w:szCs w:val="44"/>
          <w14:textFill>
            <w14:solidFill>
              <w14:schemeClr w14:val="tx1"/>
            </w14:solidFill>
          </w14:textFill>
        </w:rPr>
        <w:fldChar w:fldCharType="separate"/>
      </w:r>
    </w:p>
    <w:p>
      <w:pPr>
        <w:pStyle w:val="9"/>
      </w:pPr>
      <w:r>
        <w:fldChar w:fldCharType="begin"/>
      </w:r>
      <w:r>
        <w:instrText xml:space="preserve"> HYPERLINK \l "_Toc98920028" </w:instrText>
      </w:r>
      <w:r>
        <w:fldChar w:fldCharType="separate"/>
      </w:r>
      <w:r>
        <w:rPr>
          <w:rStyle w:val="14"/>
          <w:rFonts w:hint="eastAsia" w:ascii="黑体" w:hAnsi="黑体" w:eastAsia="黑体"/>
        </w:rPr>
        <w:t>一、 概述</w:t>
      </w:r>
      <w:r>
        <w:tab/>
      </w:r>
      <w:r>
        <w:fldChar w:fldCharType="begin"/>
      </w:r>
      <w:r>
        <w:instrText xml:space="preserve"> PAGEREF _Toc98920028 \h </w:instrText>
      </w:r>
      <w:r>
        <w:fldChar w:fldCharType="separate"/>
      </w:r>
      <w:r>
        <w:t>3</w:t>
      </w:r>
      <w:r>
        <w:fldChar w:fldCharType="end"/>
      </w:r>
      <w:r>
        <w:fldChar w:fldCharType="end"/>
      </w:r>
    </w:p>
    <w:p>
      <w:pPr>
        <w:pStyle w:val="9"/>
      </w:pPr>
      <w:r>
        <w:fldChar w:fldCharType="begin"/>
      </w:r>
      <w:r>
        <w:instrText xml:space="preserve"> HYPERLINK \l "_Toc98920029" </w:instrText>
      </w:r>
      <w:r>
        <w:fldChar w:fldCharType="separate"/>
      </w:r>
      <w:r>
        <w:rPr>
          <w:rStyle w:val="14"/>
          <w:rFonts w:hint="eastAsia" w:ascii="黑体" w:hAnsi="黑体" w:eastAsia="黑体"/>
        </w:rPr>
        <w:t>二、 主要调整内容</w:t>
      </w:r>
      <w:r>
        <w:tab/>
      </w:r>
      <w:r>
        <w:fldChar w:fldCharType="begin"/>
      </w:r>
      <w:r>
        <w:instrText xml:space="preserve"> PAGEREF _Toc98920029 \h </w:instrText>
      </w:r>
      <w:r>
        <w:fldChar w:fldCharType="separate"/>
      </w:r>
      <w:r>
        <w:t>3</w:t>
      </w:r>
      <w:r>
        <w:fldChar w:fldCharType="end"/>
      </w:r>
      <w:r>
        <w:fldChar w:fldCharType="end"/>
      </w:r>
    </w:p>
    <w:p>
      <w:pPr>
        <w:pStyle w:val="9"/>
      </w:pPr>
      <w:r>
        <w:fldChar w:fldCharType="begin"/>
      </w:r>
      <w:r>
        <w:instrText xml:space="preserve"> HYPERLINK \l "_Toc98920030" </w:instrText>
      </w:r>
      <w:r>
        <w:fldChar w:fldCharType="separate"/>
      </w:r>
      <w:r>
        <w:rPr>
          <w:rStyle w:val="14"/>
          <w:rFonts w:hint="eastAsia" w:ascii="黑体" w:hAnsi="黑体" w:eastAsia="黑体"/>
        </w:rPr>
        <w:t>三、 操作内容</w:t>
      </w:r>
      <w:r>
        <w:tab/>
      </w:r>
      <w:r>
        <w:fldChar w:fldCharType="begin"/>
      </w:r>
      <w:r>
        <w:instrText xml:space="preserve"> PAGEREF _Toc98920030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"_Toc98920031" </w:instrText>
      </w:r>
      <w:r>
        <w:fldChar w:fldCharType="separate"/>
      </w:r>
      <w:r>
        <w:rPr>
          <w:rStyle w:val="14"/>
          <w:rFonts w:ascii="仿宋" w:hAnsi="仿宋" w:eastAsia="仿宋"/>
        </w:rPr>
        <w:t>1</w:t>
      </w:r>
      <w:r>
        <w:rPr>
          <w:rStyle w:val="14"/>
          <w:rFonts w:hint="eastAsia" w:ascii="仿宋" w:hAnsi="仿宋" w:eastAsia="仿宋"/>
        </w:rPr>
        <w:t>、维护发票</w:t>
      </w:r>
      <w:r>
        <w:tab/>
      </w:r>
      <w:r>
        <w:fldChar w:fldCharType="begin"/>
      </w:r>
      <w:r>
        <w:instrText xml:space="preserve"> PAGEREF _Toc98920031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"_Toc98920032" </w:instrText>
      </w:r>
      <w:r>
        <w:fldChar w:fldCharType="separate"/>
      </w:r>
      <w:r>
        <w:rPr>
          <w:rStyle w:val="14"/>
          <w:rFonts w:ascii="仿宋" w:hAnsi="仿宋" w:eastAsia="仿宋"/>
        </w:rPr>
        <w:t>2</w:t>
      </w:r>
      <w:r>
        <w:rPr>
          <w:rStyle w:val="14"/>
          <w:rFonts w:hint="eastAsia" w:ascii="仿宋" w:hAnsi="仿宋" w:eastAsia="仿宋"/>
        </w:rPr>
        <w:t>、发票应用</w:t>
      </w:r>
      <w:r>
        <w:tab/>
      </w:r>
      <w:r>
        <w:fldChar w:fldCharType="begin"/>
      </w:r>
      <w:r>
        <w:instrText xml:space="preserve"> PAGEREF _Toc98920032 \h </w:instrText>
      </w:r>
      <w:r>
        <w:fldChar w:fldCharType="separate"/>
      </w:r>
      <w:r>
        <w:t>11</w:t>
      </w:r>
      <w:r>
        <w:fldChar w:fldCharType="end"/>
      </w:r>
      <w:r>
        <w:fldChar w:fldCharType="end"/>
      </w:r>
    </w:p>
    <w:p>
      <w:pPr>
        <w:widowControl/>
        <w:jc w:val="center"/>
        <w:rPr>
          <w:rFonts w:ascii="黑体" w:hAnsi="黑体" w:eastAsia="黑体" w:cs="仿宋"/>
          <w:color w:val="000000" w:themeColor="text1"/>
          <w:sz w:val="30"/>
          <w:szCs w:val="30"/>
          <w14:textFill>
            <w14:solidFill>
              <w14:schemeClr w14:val="tx1"/>
            </w14:solidFill>
          </w14:textFill>
        </w:rPr>
      </w:pPr>
      <w:r>
        <w:rPr>
          <w:rFonts w:ascii="仿宋" w:hAnsi="仿宋" w:eastAsia="仿宋" w:cs="仿宋"/>
          <w:color w:val="000000" w:themeColor="text1"/>
          <w:sz w:val="44"/>
          <w:szCs w:val="44"/>
          <w14:textFill>
            <w14:solidFill>
              <w14:schemeClr w14:val="tx1"/>
            </w14:solidFill>
          </w14:textFill>
        </w:rPr>
        <w:fldChar w:fldCharType="end"/>
      </w:r>
    </w:p>
    <w:p>
      <w:pPr>
        <w:widowControl/>
        <w:jc w:val="left"/>
        <w:rPr>
          <w:rFonts w:ascii="黑体" w:hAnsi="黑体" w:eastAsia="黑体" w:cs="仿宋"/>
          <w:color w:val="000000" w:themeColor="text1"/>
          <w:sz w:val="30"/>
          <w:szCs w:val="30"/>
          <w14:textFill>
            <w14:solidFill>
              <w14:schemeClr w14:val="tx1"/>
            </w14:solidFill>
          </w14:textFill>
        </w:rPr>
      </w:pPr>
      <w:r>
        <w:rPr>
          <w:rFonts w:ascii="黑体" w:hAnsi="黑体" w:eastAsia="黑体" w:cs="仿宋"/>
          <w:color w:val="000000" w:themeColor="text1"/>
          <w:sz w:val="30"/>
          <w:szCs w:val="30"/>
          <w14:textFill>
            <w14:solidFill>
              <w14:schemeClr w14:val="tx1"/>
            </w14:solidFill>
          </w14:textFill>
        </w:rPr>
        <w:br w:type="page"/>
      </w:r>
    </w:p>
    <w:p>
      <w:pPr>
        <w:widowControl/>
        <w:jc w:val="left"/>
        <w:rPr>
          <w:rFonts w:ascii="黑体" w:hAnsi="黑体" w:eastAsia="黑体" w:cs="仿宋"/>
          <w:color w:val="000000" w:themeColor="text1"/>
          <w:sz w:val="30"/>
          <w:szCs w:val="30"/>
          <w14:textFill>
            <w14:solidFill>
              <w14:schemeClr w14:val="tx1"/>
            </w14:solidFill>
          </w14:textFill>
        </w:rPr>
      </w:pPr>
    </w:p>
    <w:p>
      <w:pPr>
        <w:pStyle w:val="2"/>
        <w:numPr>
          <w:ilvl w:val="0"/>
          <w:numId w:val="1"/>
        </w:numPr>
        <w:spacing w:after="0" w:line="240" w:lineRule="auto"/>
        <w:ind w:leftChars="-67" w:hanging="141" w:hangingChars="44"/>
        <w:rPr>
          <w:rFonts w:ascii="黑体" w:hAnsi="黑体" w:eastAsia="黑体"/>
          <w:color w:val="000000" w:themeColor="text1"/>
          <w:sz w:val="32"/>
          <w:szCs w:val="32"/>
          <w14:textFill>
            <w14:solidFill>
              <w14:schemeClr w14:val="tx1"/>
            </w14:solidFill>
          </w14:textFill>
        </w:rPr>
      </w:pPr>
      <w:bookmarkStart w:id="2" w:name="_Toc98920028"/>
      <w:r>
        <w:rPr>
          <w:rFonts w:hint="eastAsia" w:ascii="黑体" w:hAnsi="黑体" w:eastAsia="黑体"/>
          <w:color w:val="000000" w:themeColor="text1"/>
          <w:sz w:val="32"/>
          <w:szCs w:val="32"/>
          <w14:textFill>
            <w14:solidFill>
              <w14:schemeClr w14:val="tx1"/>
            </w14:solidFill>
          </w14:textFill>
        </w:rPr>
        <w:t>概述</w:t>
      </w:r>
      <w:bookmarkEnd w:id="2"/>
    </w:p>
    <w:p>
      <w:pPr>
        <w:spacing w:line="540" w:lineRule="exact"/>
        <w:ind w:firstLine="60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sz w:val="30"/>
          <w:szCs w:val="30"/>
        </w:rPr>
        <w:t>通过将关联方填写的发票信息进行标准化和对发票进行验真，在各系统间实现共享，以更好地支持电子招标业务开展。</w:t>
      </w:r>
    </w:p>
    <w:p>
      <w:pPr>
        <w:pStyle w:val="2"/>
        <w:numPr>
          <w:ilvl w:val="0"/>
          <w:numId w:val="1"/>
        </w:numPr>
        <w:spacing w:after="0" w:line="240" w:lineRule="auto"/>
        <w:ind w:leftChars="-67" w:hanging="141" w:hangingChars="44"/>
        <w:rPr>
          <w:rFonts w:ascii="黑体" w:hAnsi="黑体" w:eastAsia="黑体"/>
          <w:color w:val="000000" w:themeColor="text1"/>
          <w:sz w:val="32"/>
          <w:szCs w:val="32"/>
          <w14:textFill>
            <w14:solidFill>
              <w14:schemeClr w14:val="tx1"/>
            </w14:solidFill>
          </w14:textFill>
        </w:rPr>
      </w:pPr>
      <w:bookmarkStart w:id="3" w:name="_Toc98920029"/>
      <w:r>
        <w:rPr>
          <w:rFonts w:hint="eastAsia" w:ascii="黑体" w:hAnsi="黑体" w:eastAsia="黑体"/>
          <w:color w:val="000000" w:themeColor="text1"/>
          <w:sz w:val="32"/>
          <w:szCs w:val="32"/>
          <w14:textFill>
            <w14:solidFill>
              <w14:schemeClr w14:val="tx1"/>
            </w14:solidFill>
          </w14:textFill>
        </w:rPr>
        <w:t>主要调整</w:t>
      </w:r>
      <w:r>
        <w:rPr>
          <w:rFonts w:ascii="黑体" w:hAnsi="黑体" w:eastAsia="黑体"/>
          <w:color w:val="000000" w:themeColor="text1"/>
          <w:sz w:val="32"/>
          <w:szCs w:val="32"/>
          <w14:textFill>
            <w14:solidFill>
              <w14:schemeClr w14:val="tx1"/>
            </w14:solidFill>
          </w14:textFill>
        </w:rPr>
        <w:t>内容</w:t>
      </w:r>
      <w:bookmarkEnd w:id="3"/>
    </w:p>
    <w:p>
      <w:pPr>
        <w:pStyle w:val="24"/>
        <w:spacing w:line="240" w:lineRule="auto"/>
        <w:ind w:right="-483" w:rightChars="-230" w:firstLine="0" w:firstLineChars="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新增业绩发票维护和验真功能。</w:t>
      </w:r>
    </w:p>
    <w:p>
      <w:pPr>
        <w:pStyle w:val="24"/>
        <w:spacing w:line="240" w:lineRule="auto"/>
        <w:ind w:right="-483" w:rightChars="-230" w:firstLine="0" w:firstLineChars="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新增投标过程中选择业绩发票功能。</w:t>
      </w:r>
    </w:p>
    <w:p>
      <w:pPr>
        <w:pStyle w:val="2"/>
        <w:numPr>
          <w:ilvl w:val="0"/>
          <w:numId w:val="1"/>
        </w:numPr>
        <w:spacing w:after="0" w:line="240" w:lineRule="auto"/>
        <w:ind w:leftChars="-135" w:hanging="283" w:hangingChars="88"/>
        <w:rPr>
          <w:rFonts w:ascii="黑体" w:hAnsi="黑体" w:eastAsia="黑体"/>
          <w:color w:val="000000" w:themeColor="text1"/>
          <w:sz w:val="32"/>
          <w:szCs w:val="32"/>
          <w14:textFill>
            <w14:solidFill>
              <w14:schemeClr w14:val="tx1"/>
            </w14:solidFill>
          </w14:textFill>
        </w:rPr>
      </w:pPr>
      <w:bookmarkStart w:id="4" w:name="_Toc98920030"/>
      <w:r>
        <w:rPr>
          <w:rFonts w:hint="eastAsia" w:ascii="黑体" w:hAnsi="黑体" w:eastAsia="黑体"/>
          <w:color w:val="000000" w:themeColor="text1"/>
          <w:sz w:val="32"/>
          <w:szCs w:val="32"/>
          <w14:textFill>
            <w14:solidFill>
              <w14:schemeClr w14:val="tx1"/>
            </w14:solidFill>
          </w14:textFill>
        </w:rPr>
        <w:t>操作内容</w:t>
      </w:r>
      <w:bookmarkEnd w:id="4"/>
    </w:p>
    <w:p>
      <w:pPr>
        <w:pStyle w:val="3"/>
        <w:spacing w:line="240" w:lineRule="auto"/>
        <w:ind w:left="-141" w:leftChars="-67"/>
        <w:rPr>
          <w:rFonts w:ascii="仿宋" w:hAnsi="仿宋" w:eastAsia="仿宋"/>
          <w:color w:val="000000" w:themeColor="text1"/>
          <w14:textFill>
            <w14:solidFill>
              <w14:schemeClr w14:val="tx1"/>
            </w14:solidFill>
          </w14:textFill>
        </w:rPr>
      </w:pPr>
      <w:bookmarkStart w:id="5" w:name="_Toc98920031"/>
      <w:r>
        <w:rPr>
          <w:rFonts w:ascii="仿宋" w:hAnsi="仿宋" w:eastAsia="仿宋"/>
          <w:color w:val="000000" w:themeColor="text1"/>
          <w14:textFill>
            <w14:solidFill>
              <w14:schemeClr w14:val="tx1"/>
            </w14:solidFill>
          </w14:textFill>
        </w:rPr>
        <w:t>1</w:t>
      </w:r>
      <w:r>
        <w:rPr>
          <w:rFonts w:hint="eastAsia" w:ascii="仿宋" w:hAnsi="仿宋" w:eastAsia="仿宋"/>
          <w:color w:val="000000" w:themeColor="text1"/>
          <w14:textFill>
            <w14:solidFill>
              <w14:schemeClr w14:val="tx1"/>
            </w14:solidFill>
          </w14:textFill>
        </w:rPr>
        <w:t>、维护发票</w:t>
      </w:r>
      <w:bookmarkEnd w:id="5"/>
    </w:p>
    <w:p>
      <w:pPr>
        <w:pStyle w:val="20"/>
        <w:numPr>
          <w:ilvl w:val="0"/>
          <w:numId w:val="2"/>
        </w:numPr>
        <w:ind w:left="355" w:leftChars="-67" w:hanging="496" w:firstLineChars="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操作平台：</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易派客 </w:t>
      </w:r>
      <w:r>
        <w:fldChar w:fldCharType="begin"/>
      </w:r>
      <w:r>
        <w:instrText xml:space="preserve"> HYPERLINK "https://www.epec.com/" </w:instrText>
      </w:r>
      <w:r>
        <w:fldChar w:fldCharType="separate"/>
      </w:r>
      <w:r>
        <w:rPr>
          <w:rStyle w:val="14"/>
          <w:rFonts w:hint="eastAsia" w:ascii="仿宋" w:hAnsi="仿宋" w:eastAsia="仿宋"/>
          <w:sz w:val="32"/>
          <w:szCs w:val="32"/>
        </w:rPr>
        <w:t>https://www.epec.com/</w:t>
      </w:r>
      <w:r>
        <w:rPr>
          <w:rStyle w:val="14"/>
          <w:rFonts w:hint="eastAsia" w:ascii="仿宋" w:hAnsi="仿宋" w:eastAsia="仿宋"/>
          <w:sz w:val="32"/>
          <w:szCs w:val="32"/>
        </w:rPr>
        <w:fldChar w:fldCharType="end"/>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登录后进入“运营中心”，页面如下：</w:t>
      </w:r>
    </w:p>
    <w:p>
      <w:pPr>
        <w:ind w:left="-141" w:leftChars="-67" w:firstLine="420" w:firstLineChars="200"/>
        <w:rPr>
          <w:rFonts w:ascii="仿宋" w:hAnsi="仿宋" w:eastAsia="仿宋"/>
          <w:color w:val="000000" w:themeColor="text1"/>
          <w:sz w:val="32"/>
          <w:szCs w:val="32"/>
          <w14:textFill>
            <w14:solidFill>
              <w14:schemeClr w14:val="tx1"/>
            </w14:solidFill>
          </w14:textFill>
        </w:rPr>
      </w:pPr>
      <w:r>
        <w:drawing>
          <wp:inline distT="0" distB="0" distL="0" distR="0">
            <wp:extent cx="5274310" cy="24364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436495"/>
                    </a:xfrm>
                    <a:prstGeom prst="rect">
                      <a:avLst/>
                    </a:prstGeom>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在“设置”里点击“业绩发票管理”进入发票管理功能。</w:t>
      </w:r>
    </w:p>
    <w:p>
      <w:pPr>
        <w:pStyle w:val="20"/>
        <w:numPr>
          <w:ilvl w:val="0"/>
          <w:numId w:val="2"/>
        </w:numPr>
        <w:ind w:left="355" w:leftChars="-67" w:hanging="496" w:firstLineChars="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操作内容：</w:t>
      </w:r>
    </w:p>
    <w:p>
      <w:pPr>
        <w:numPr>
          <w:ilvl w:val="0"/>
          <w:numId w:val="3"/>
        </w:num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新增单张发票</w:t>
      </w:r>
    </w:p>
    <w:p>
      <w:pPr>
        <w:ind w:left="-141" w:leftChars="-67" w:firstLine="420" w:firstLineChars="200"/>
      </w:pPr>
      <w:r>
        <w:drawing>
          <wp:inline distT="0" distB="0" distL="114300" distR="114300">
            <wp:extent cx="5274310" cy="1447165"/>
            <wp:effectExtent l="0" t="0" r="2540"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7"/>
                    <a:stretch>
                      <a:fillRect/>
                    </a:stretch>
                  </pic:blipFill>
                  <pic:spPr>
                    <a:xfrm>
                      <a:off x="0" y="0"/>
                      <a:ext cx="5274310" cy="1447165"/>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点击“新增”按钮，弹出新增发票窗口，如下</w:t>
      </w:r>
    </w:p>
    <w:p>
      <w:pPr>
        <w:ind w:left="-141" w:leftChars="-67" w:firstLine="420" w:firstLineChars="200"/>
        <w:rPr>
          <w:rFonts w:ascii="仿宋" w:hAnsi="仿宋" w:eastAsia="仿宋"/>
          <w:color w:val="000000" w:themeColor="text1"/>
          <w:sz w:val="32"/>
          <w:szCs w:val="32"/>
          <w14:textFill>
            <w14:solidFill>
              <w14:schemeClr w14:val="tx1"/>
            </w14:solidFill>
          </w14:textFill>
        </w:rPr>
      </w:pPr>
      <w:r>
        <w:drawing>
          <wp:inline distT="0" distB="0" distL="114300" distR="114300">
            <wp:extent cx="5273675" cy="4146550"/>
            <wp:effectExtent l="0" t="0" r="14605" b="1397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8"/>
                    <a:stretch>
                      <a:fillRect/>
                    </a:stretch>
                  </pic:blipFill>
                  <pic:spPr>
                    <a:xfrm>
                      <a:off x="0" y="0"/>
                      <a:ext cx="5273675" cy="4146550"/>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录入发票代码、发票号码、发票种类、开票日期、发票金额、校验码</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发票代码为10位或12位，发票号码8号，格式有误时系统给以提示。</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4.普通发票要求需要输入校验码。</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5.录入发票信息所有字段格式正确时显示对勾，格式错误时红字提示。</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6.格式全部正确后可以保存也可以验真，格式错误时可保存，不可以验真。</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7.发票信息保存或验真后关闭新增窗口返回发票列表页。</w:t>
      </w:r>
    </w:p>
    <w:p>
      <w:pPr>
        <w:numPr>
          <w:ilvl w:val="0"/>
          <w:numId w:val="3"/>
        </w:num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批量导入发票</w:t>
      </w:r>
    </w:p>
    <w:p>
      <w:pPr>
        <w:ind w:left="-141" w:leftChars="-67" w:firstLine="420" w:firstLineChars="200"/>
        <w:jc w:val="left"/>
      </w:pPr>
      <w:r>
        <w:drawing>
          <wp:inline distT="0" distB="0" distL="114300" distR="114300">
            <wp:extent cx="5273040" cy="2183130"/>
            <wp:effectExtent l="0" t="0" r="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73040" cy="2183130"/>
                    </a:xfrm>
                    <a:prstGeom prst="rect">
                      <a:avLst/>
                    </a:prstGeom>
                    <a:noFill/>
                    <a:ln>
                      <a:noFill/>
                    </a:ln>
                  </pic:spPr>
                </pic:pic>
              </a:graphicData>
            </a:graphic>
          </wp:inline>
        </w:drawing>
      </w:r>
    </w:p>
    <w:p>
      <w:pPr>
        <w:ind w:left="-141" w:leftChars="-67" w:firstLine="640" w:firstLineChars="200"/>
        <w:jc w:val="left"/>
      </w:pPr>
      <w:r>
        <w:rPr>
          <w:rFonts w:hint="eastAsia" w:ascii="仿宋" w:hAnsi="仿宋" w:eastAsia="仿宋"/>
          <w:color w:val="000000" w:themeColor="text1"/>
          <w:sz w:val="32"/>
          <w:szCs w:val="32"/>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点击“导出模板”按钮导出excel模板。</w:t>
      </w:r>
    </w:p>
    <w:p>
      <w:pPr>
        <w:ind w:left="-141" w:leftChars="-67" w:firstLine="420" w:firstLineChars="200"/>
      </w:pPr>
      <w:r>
        <w:drawing>
          <wp:inline distT="0" distB="0" distL="114300" distR="114300">
            <wp:extent cx="5270500" cy="591820"/>
            <wp:effectExtent l="0" t="0" r="6350"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
                    <a:stretch>
                      <a:fillRect/>
                    </a:stretch>
                  </pic:blipFill>
                  <pic:spPr>
                    <a:xfrm>
                      <a:off x="0" y="0"/>
                      <a:ext cx="5270500" cy="591820"/>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.在excel模板</w:t>
      </w:r>
      <w:r>
        <w:rPr>
          <w:rFonts w:hint="eastAsia" w:ascii="仿宋" w:hAnsi="仿宋" w:eastAsia="仿宋"/>
          <w:color w:val="000000" w:themeColor="text1"/>
          <w:sz w:val="32"/>
          <w:szCs w:val="32"/>
          <w14:textFill>
            <w14:solidFill>
              <w14:schemeClr w14:val="tx1"/>
            </w14:solidFill>
          </w14:textFill>
        </w:rPr>
        <w:t>填写完整发票信息。</w:t>
      </w:r>
    </w:p>
    <w:p>
      <w:pPr>
        <w:ind w:left="-141" w:leftChars="-67" w:firstLine="420" w:firstLineChars="200"/>
        <w:rPr>
          <w:rFonts w:ascii="仿宋" w:hAnsi="仿宋" w:eastAsia="仿宋"/>
          <w:color w:val="000000" w:themeColor="text1"/>
          <w:sz w:val="32"/>
          <w:szCs w:val="32"/>
          <w14:textFill>
            <w14:solidFill>
              <w14:schemeClr w14:val="tx1"/>
            </w14:solidFill>
          </w14:textFill>
        </w:rPr>
      </w:pPr>
      <w:r>
        <w:drawing>
          <wp:inline distT="0" distB="0" distL="114300" distR="114300">
            <wp:extent cx="5266690" cy="1356995"/>
            <wp:effectExtent l="0" t="0" r="10160" b="146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5266690" cy="1356995"/>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点击“批量导入”按钮，选择导入已填写完成的模板批量导入发票信息。</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4.导入的发票数据信息在发票列表中进行展示，并显示格式校验结果。</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.点击“查看导入历史”按钮可查看导入发票记录，在导入历史excel表中可查看导入失败原因。</w:t>
      </w:r>
    </w:p>
    <w:p>
      <w:pPr>
        <w:ind w:left="-141" w:leftChars="-67" w:firstLine="420" w:firstLineChars="200"/>
        <w:rPr>
          <w:rFonts w:ascii="仿宋" w:hAnsi="仿宋" w:eastAsia="仿宋"/>
          <w:color w:val="000000" w:themeColor="text1"/>
          <w:sz w:val="32"/>
          <w:szCs w:val="32"/>
          <w14:textFill>
            <w14:solidFill>
              <w14:schemeClr w14:val="tx1"/>
            </w14:solidFill>
          </w14:textFill>
        </w:rPr>
      </w:pPr>
      <w:r>
        <w:drawing>
          <wp:inline distT="0" distB="0" distL="114300" distR="114300">
            <wp:extent cx="5274310" cy="3389630"/>
            <wp:effectExtent l="0" t="0" r="254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74310" cy="3389630"/>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7.点击“导出”，可导出已上传的发票数据，在最后一列显示格式验证不通过的原因。</w:t>
      </w:r>
    </w:p>
    <w:p>
      <w:pPr>
        <w:ind w:left="-141" w:leftChars="-67" w:firstLine="420" w:firstLineChars="200"/>
        <w:rPr>
          <w:rFonts w:ascii="仿宋" w:hAnsi="仿宋" w:eastAsia="仿宋"/>
          <w:color w:val="000000" w:themeColor="text1"/>
          <w:sz w:val="32"/>
          <w:szCs w:val="32"/>
          <w14:textFill>
            <w14:solidFill>
              <w14:schemeClr w14:val="tx1"/>
            </w14:solidFill>
          </w14:textFill>
        </w:rPr>
      </w:pPr>
      <w:r>
        <w:drawing>
          <wp:inline distT="0" distB="0" distL="114300" distR="114300">
            <wp:extent cx="5267325" cy="581025"/>
            <wp:effectExtent l="0" t="0" r="9525" b="952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3"/>
                    <a:stretch>
                      <a:fillRect/>
                    </a:stretch>
                  </pic:blipFill>
                  <pic:spPr>
                    <a:xfrm>
                      <a:off x="0" y="0"/>
                      <a:ext cx="5267325" cy="581025"/>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8</w:t>
      </w:r>
      <w:r>
        <w:rPr>
          <w:rFonts w:ascii="仿宋" w:hAnsi="仿宋" w:eastAsia="仿宋"/>
          <w:color w:val="000000" w:themeColor="text1"/>
          <w:sz w:val="32"/>
          <w:szCs w:val="32"/>
          <w14:textFill>
            <w14:solidFill>
              <w14:schemeClr w14:val="tx1"/>
            </w14:solidFill>
          </w14:textFill>
        </w:rPr>
        <w:t>.可</w:t>
      </w:r>
      <w:r>
        <w:rPr>
          <w:rFonts w:hint="eastAsia" w:ascii="仿宋" w:hAnsi="仿宋" w:eastAsia="仿宋"/>
          <w:color w:val="000000" w:themeColor="text1"/>
          <w:sz w:val="32"/>
          <w:szCs w:val="32"/>
          <w14:textFill>
            <w14:solidFill>
              <w14:schemeClr w14:val="tx1"/>
            </w14:solidFill>
          </w14:textFill>
        </w:rPr>
        <w:t>修改导入失败的发票信息后重新导入。</w:t>
      </w:r>
    </w:p>
    <w:p>
      <w:pPr>
        <w:numPr>
          <w:ilvl w:val="0"/>
          <w:numId w:val="3"/>
        </w:num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查看、修改发票信息</w:t>
      </w:r>
    </w:p>
    <w:p>
      <w:pPr>
        <w:pStyle w:val="20"/>
        <w:numPr>
          <w:ilvl w:val="0"/>
          <w:numId w:val="4"/>
        </w:numPr>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进入发票信息页面即可查看发票信息，默认显示验真状态成功的发票。</w:t>
      </w:r>
    </w:p>
    <w:p>
      <w:pPr>
        <w:ind w:left="420"/>
        <w:rPr>
          <w:rFonts w:ascii="仿宋" w:hAnsi="仿宋" w:eastAsia="仿宋"/>
          <w:color w:val="000000" w:themeColor="text1"/>
          <w:sz w:val="32"/>
          <w:szCs w:val="32"/>
          <w14:textFill>
            <w14:solidFill>
              <w14:schemeClr w14:val="tx1"/>
            </w14:solidFill>
          </w14:textFill>
        </w:rPr>
      </w:pPr>
      <w:r>
        <w:drawing>
          <wp:inline distT="0" distB="0" distL="114300" distR="114300">
            <wp:extent cx="5272405" cy="3830320"/>
            <wp:effectExtent l="0" t="0" r="635"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272405" cy="3830320"/>
                    </a:xfrm>
                    <a:prstGeom prst="rect">
                      <a:avLst/>
                    </a:prstGeom>
                    <a:noFill/>
                    <a:ln>
                      <a:noFill/>
                    </a:ln>
                  </pic:spPr>
                </pic:pic>
              </a:graphicData>
            </a:graphic>
          </wp:inline>
        </w:drawing>
      </w:r>
    </w:p>
    <w:p>
      <w:pPr>
        <w:pStyle w:val="20"/>
        <w:numPr>
          <w:ilvl w:val="0"/>
          <w:numId w:val="4"/>
        </w:numPr>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输入或选择发票代码、发票票号、发票类型、发票分类、销售方名称、购买方名称、开票日期、校验状态、验真状态查询条件后点击“查询”按钮，查询出符合条件的发票数据。</w:t>
      </w:r>
    </w:p>
    <w:p>
      <w:pPr>
        <w:pStyle w:val="20"/>
        <w:numPr>
          <w:ilvl w:val="0"/>
          <w:numId w:val="4"/>
        </w:numPr>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修改发票信息</w:t>
      </w:r>
    </w:p>
    <w:p>
      <w:pPr>
        <w:rPr>
          <w:rFonts w:ascii="仿宋" w:hAnsi="仿宋" w:eastAsia="仿宋"/>
          <w:color w:val="000000" w:themeColor="text1"/>
          <w:sz w:val="32"/>
          <w:szCs w:val="32"/>
          <w14:textFill>
            <w14:solidFill>
              <w14:schemeClr w14:val="tx1"/>
            </w14:solidFill>
          </w14:textFill>
        </w:rPr>
      </w:pPr>
      <w:r>
        <w:drawing>
          <wp:inline distT="0" distB="0" distL="114300" distR="114300">
            <wp:extent cx="5273675" cy="3706495"/>
            <wp:effectExtent l="0" t="0" r="3175" b="825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5273675" cy="3706495"/>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可以修改格式校验不成功、未验真、验真不成功的发票。</w:t>
      </w:r>
    </w:p>
    <w:p>
      <w:pPr>
        <w:ind w:left="-141" w:leftChars="-67" w:firstLine="420" w:firstLineChars="200"/>
        <w:rPr>
          <w:rFonts w:ascii="仿宋" w:hAnsi="仿宋" w:eastAsia="仿宋"/>
          <w:color w:val="000000" w:themeColor="text1"/>
          <w:sz w:val="32"/>
          <w:szCs w:val="32"/>
          <w14:textFill>
            <w14:solidFill>
              <w14:schemeClr w14:val="tx1"/>
            </w14:solidFill>
          </w14:textFill>
        </w:rPr>
      </w:pPr>
      <w:r>
        <w:drawing>
          <wp:inline distT="0" distB="0" distL="114300" distR="114300">
            <wp:extent cx="5273675" cy="4146550"/>
            <wp:effectExtent l="0" t="0" r="14605" b="1397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8"/>
                    <a:stretch>
                      <a:fillRect/>
                    </a:stretch>
                  </pic:blipFill>
                  <pic:spPr>
                    <a:xfrm>
                      <a:off x="0" y="0"/>
                      <a:ext cx="5273675" cy="4146550"/>
                    </a:xfrm>
                    <a:prstGeom prst="rect">
                      <a:avLst/>
                    </a:prstGeom>
                    <a:noFill/>
                    <a:ln>
                      <a:noFill/>
                    </a:ln>
                  </pic:spPr>
                </pic:pic>
              </a:graphicData>
            </a:graphic>
          </wp:inline>
        </w:drawing>
      </w:r>
    </w:p>
    <w:p>
      <w:pPr>
        <w:pStyle w:val="20"/>
        <w:numPr>
          <w:ilvl w:val="0"/>
          <w:numId w:val="4"/>
        </w:numPr>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删除发票信息</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可在发票行最后操作列点击“删除”删除</w:t>
      </w:r>
      <w:r>
        <w:rPr>
          <w:rFonts w:hint="eastAsia" w:ascii="仿宋" w:hAnsi="仿宋" w:eastAsia="仿宋"/>
          <w:color w:val="000000" w:themeColor="text1"/>
          <w:sz w:val="32"/>
          <w:szCs w:val="32"/>
          <w14:textFill>
            <w14:solidFill>
              <w14:schemeClr w14:val="tx1"/>
            </w14:solidFill>
          </w14:textFill>
        </w:rPr>
        <w:t>单</w:t>
      </w:r>
      <w:r>
        <w:rPr>
          <w:rFonts w:ascii="仿宋" w:hAnsi="仿宋" w:eastAsia="仿宋"/>
          <w:color w:val="000000" w:themeColor="text1"/>
          <w:sz w:val="32"/>
          <w:szCs w:val="32"/>
          <w14:textFill>
            <w14:solidFill>
              <w14:schemeClr w14:val="tx1"/>
            </w14:solidFill>
          </w14:textFill>
        </w:rPr>
        <w:t>行或在列表行第一列打钩多选点击“删除”按钮执行批量删除。</w:t>
      </w:r>
    </w:p>
    <w:p>
      <w:pPr>
        <w:ind w:left="-141" w:leftChars="-67" w:firstLine="420" w:firstLineChars="200"/>
        <w:rPr>
          <w:rFonts w:ascii="仿宋" w:hAnsi="仿宋" w:eastAsia="仿宋"/>
          <w:color w:val="000000" w:themeColor="text1"/>
          <w:sz w:val="32"/>
          <w:szCs w:val="32"/>
          <w14:textFill>
            <w14:solidFill>
              <w14:schemeClr w14:val="tx1"/>
            </w14:solidFill>
          </w14:textFill>
        </w:rPr>
      </w:pPr>
      <w:r>
        <w:drawing>
          <wp:inline distT="0" distB="0" distL="114300" distR="114300">
            <wp:extent cx="5267325" cy="3099435"/>
            <wp:effectExtent l="0" t="0" r="571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267325" cy="3099435"/>
                    </a:xfrm>
                    <a:prstGeom prst="rect">
                      <a:avLst/>
                    </a:prstGeom>
                    <a:noFill/>
                    <a:ln>
                      <a:noFill/>
                    </a:ln>
                  </pic:spPr>
                </pic:pic>
              </a:graphicData>
            </a:graphic>
          </wp:inline>
        </w:drawing>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未验真、验真失败、已验真通过的发票信息均可删除。</w:t>
      </w:r>
    </w:p>
    <w:p>
      <w:pPr>
        <w:ind w:left="-141" w:leftChars="-67"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删除验真通过的发票时，系统会给出提示，可选择“确定”或“取消”，确定后该发票信息不再显示，取消后不执行删除操作。</w:t>
      </w:r>
    </w:p>
    <w:p>
      <w:pPr>
        <w:pStyle w:val="20"/>
        <w:numPr>
          <w:ilvl w:val="0"/>
          <w:numId w:val="4"/>
        </w:numPr>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验证已验真通过的发票可以点击发票代码查看验真后的发票详情信息</w:t>
      </w:r>
    </w:p>
    <w:p>
      <w:pPr>
        <w:ind w:left="420"/>
      </w:pPr>
      <w:r>
        <w:drawing>
          <wp:inline distT="0" distB="0" distL="114300" distR="114300">
            <wp:extent cx="5266690" cy="3287395"/>
            <wp:effectExtent l="0" t="0" r="10160"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7"/>
                    <a:stretch>
                      <a:fillRect/>
                    </a:stretch>
                  </pic:blipFill>
                  <pic:spPr>
                    <a:xfrm>
                      <a:off x="0" y="0"/>
                      <a:ext cx="5266690" cy="3287395"/>
                    </a:xfrm>
                    <a:prstGeom prst="rect">
                      <a:avLst/>
                    </a:prstGeom>
                    <a:noFill/>
                    <a:ln>
                      <a:noFill/>
                    </a:ln>
                  </pic:spPr>
                </pic:pic>
              </a:graphicData>
            </a:graphic>
          </wp:inline>
        </w:drawing>
      </w:r>
    </w:p>
    <w:p>
      <w:pPr>
        <w:pStyle w:val="20"/>
        <w:numPr>
          <w:ilvl w:val="0"/>
          <w:numId w:val="3"/>
        </w:numPr>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发票验真</w:t>
      </w:r>
    </w:p>
    <w:p>
      <w:pPr>
        <w:ind w:left="420"/>
      </w:pPr>
      <w:r>
        <w:drawing>
          <wp:inline distT="0" distB="0" distL="114300" distR="114300">
            <wp:extent cx="5266690" cy="2851785"/>
            <wp:effectExtent l="0" t="0" r="6350" b="133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5266690" cy="2851785"/>
                    </a:xfrm>
                    <a:prstGeom prst="rect">
                      <a:avLst/>
                    </a:prstGeom>
                    <a:noFill/>
                    <a:ln>
                      <a:noFill/>
                    </a:ln>
                  </pic:spPr>
                </pic:pic>
              </a:graphicData>
            </a:graphic>
          </wp:inline>
        </w:drawing>
      </w:r>
    </w:p>
    <w:p>
      <w:pPr>
        <w:pStyle w:val="20"/>
        <w:ind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1.单张发票维护时，在格式正确的前提下可点击“验真”按钮进行验真。</w:t>
      </w:r>
    </w:p>
    <w:p>
      <w:pPr>
        <w:pStyle w:val="20"/>
        <w:ind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2.可在列表中选择一条或多条未验真的发票验真。</w:t>
      </w:r>
    </w:p>
    <w:p>
      <w:pPr>
        <w:pStyle w:val="20"/>
        <w:ind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3.发票验真通过后可获取发票详情信息，并显示发票分类（</w:t>
      </w:r>
      <w:r>
        <w:rPr>
          <w:rFonts w:ascii="仿宋_GB2312" w:hAnsi="仿宋_GB2312" w:eastAsia="仿宋_GB2312" w:cs="仿宋_GB2312"/>
          <w:sz w:val="32"/>
          <w:szCs w:val="32"/>
        </w:rPr>
        <w:t>销售发票、采购发票和</w:t>
      </w:r>
      <w:r>
        <w:rPr>
          <w:rFonts w:hint="eastAsia" w:ascii="仿宋_GB2312" w:hAnsi="仿宋_GB2312" w:eastAsia="仿宋_GB2312" w:cs="仿宋_GB2312"/>
          <w:sz w:val="32"/>
          <w:szCs w:val="32"/>
        </w:rPr>
        <w:t>第三</w:t>
      </w:r>
      <w:r>
        <w:rPr>
          <w:rFonts w:ascii="仿宋_GB2312" w:hAnsi="仿宋_GB2312" w:eastAsia="仿宋_GB2312" w:cs="仿宋_GB2312"/>
          <w:sz w:val="32"/>
          <w:szCs w:val="32"/>
        </w:rPr>
        <w:t>方发票</w:t>
      </w:r>
      <w:r>
        <w:rPr>
          <w:rFonts w:hint="eastAsia" w:ascii="仿宋" w:hAnsi="仿宋" w:eastAsia="仿宋"/>
          <w:color w:val="000000" w:themeColor="text1"/>
          <w:sz w:val="32"/>
          <w:szCs w:val="32"/>
          <w14:textFill>
            <w14:solidFill>
              <w14:schemeClr w14:val="tx1"/>
            </w14:solidFill>
          </w14:textFill>
        </w:rPr>
        <w:t>），发票验真提示语如下图。</w:t>
      </w:r>
    </w:p>
    <w:p>
      <w:pPr>
        <w:pStyle w:val="20"/>
        <w:ind w:left="780" w:firstLine="0" w:firstLineChars="0"/>
        <w:rPr>
          <w:rFonts w:ascii="仿宋" w:hAnsi="仿宋" w:eastAsia="仿宋"/>
          <w:color w:val="000000" w:themeColor="text1"/>
          <w:sz w:val="32"/>
          <w:szCs w:val="32"/>
          <w14:textFill>
            <w14:solidFill>
              <w14:schemeClr w14:val="tx1"/>
            </w14:solidFill>
          </w14:textFill>
        </w:rPr>
      </w:pPr>
      <w:r>
        <w:drawing>
          <wp:inline distT="0" distB="0" distL="114300" distR="114300">
            <wp:extent cx="5266690" cy="2196465"/>
            <wp:effectExtent l="0" t="0" r="6350" b="1333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9"/>
                    <a:stretch>
                      <a:fillRect/>
                    </a:stretch>
                  </pic:blipFill>
                  <pic:spPr>
                    <a:xfrm>
                      <a:off x="0" y="0"/>
                      <a:ext cx="5266690" cy="2196465"/>
                    </a:xfrm>
                    <a:prstGeom prst="rect">
                      <a:avLst/>
                    </a:prstGeom>
                    <a:noFill/>
                    <a:ln>
                      <a:noFill/>
                    </a:ln>
                  </pic:spPr>
                </pic:pic>
              </a:graphicData>
            </a:graphic>
          </wp:inline>
        </w:drawing>
      </w:r>
    </w:p>
    <w:p>
      <w:pPr>
        <w:pStyle w:val="3"/>
        <w:spacing w:line="240" w:lineRule="auto"/>
        <w:ind w:left="-141" w:leftChars="-67"/>
        <w:rPr>
          <w:rFonts w:ascii="仿宋" w:hAnsi="仿宋" w:eastAsia="仿宋"/>
          <w:color w:val="000000" w:themeColor="text1"/>
          <w14:textFill>
            <w14:solidFill>
              <w14:schemeClr w14:val="tx1"/>
            </w14:solidFill>
          </w14:textFill>
        </w:rPr>
      </w:pPr>
      <w:bookmarkStart w:id="6" w:name="_Toc98920032"/>
      <w:r>
        <w:rPr>
          <w:rFonts w:ascii="仿宋" w:hAnsi="仿宋" w:eastAsia="仿宋"/>
          <w:color w:val="000000" w:themeColor="text1"/>
          <w14:textFill>
            <w14:solidFill>
              <w14:schemeClr w14:val="tx1"/>
            </w14:solidFill>
          </w14:textFill>
        </w:rPr>
        <w:t>2</w:t>
      </w:r>
      <w:r>
        <w:rPr>
          <w:rFonts w:hint="eastAsia" w:ascii="仿宋" w:hAnsi="仿宋" w:eastAsia="仿宋"/>
          <w:color w:val="000000" w:themeColor="text1"/>
          <w14:textFill>
            <w14:solidFill>
              <w14:schemeClr w14:val="tx1"/>
            </w14:solidFill>
          </w14:textFill>
        </w:rPr>
        <w:t>、发票应用</w:t>
      </w:r>
      <w:bookmarkEnd w:id="6"/>
    </w:p>
    <w:p>
      <w:pPr>
        <w:numPr>
          <w:ilvl w:val="0"/>
          <w:numId w:val="5"/>
        </w:numPr>
        <w:rPr>
          <w:rFonts w:ascii="仿宋" w:hAnsi="仿宋" w:eastAsia="仿宋" w:cs="仿宋"/>
          <w:b/>
          <w:bCs/>
          <w:sz w:val="32"/>
          <w:szCs w:val="32"/>
        </w:rPr>
      </w:pPr>
      <w:r>
        <w:rPr>
          <w:rFonts w:hint="eastAsia" w:ascii="仿宋" w:hAnsi="仿宋" w:eastAsia="仿宋" w:cs="仿宋"/>
          <w:b/>
          <w:bCs/>
          <w:sz w:val="32"/>
          <w:szCs w:val="32"/>
        </w:rPr>
        <w:t>操作内容</w:t>
      </w:r>
    </w:p>
    <w:p>
      <w:pPr>
        <w:rPr>
          <w:rFonts w:ascii="仿宋" w:hAnsi="仿宋" w:eastAsia="仿宋" w:cs="仿宋"/>
          <w:sz w:val="32"/>
          <w:szCs w:val="32"/>
        </w:rPr>
      </w:pPr>
      <w:r>
        <w:rPr>
          <w:rFonts w:hint="eastAsia" w:ascii="仿宋" w:hAnsi="仿宋" w:eastAsia="仿宋" w:cs="仿宋"/>
          <w:sz w:val="32"/>
          <w:szCs w:val="32"/>
        </w:rPr>
        <w:t>投标文件制作（发票信息挑选与获取）</w:t>
      </w:r>
    </w:p>
    <w:p>
      <w:pPr>
        <w:rPr>
          <w:rFonts w:ascii="仿宋" w:hAnsi="仿宋" w:eastAsia="仿宋" w:cs="仿宋"/>
          <w:sz w:val="32"/>
          <w:szCs w:val="32"/>
        </w:rPr>
      </w:pPr>
      <w:r>
        <w:rPr>
          <w:rFonts w:hint="eastAsia" w:ascii="仿宋" w:hAnsi="仿宋" w:eastAsia="仿宋" w:cs="仿宋"/>
          <w:sz w:val="32"/>
          <w:szCs w:val="32"/>
        </w:rPr>
        <w:t>一、下载招标文件进入投标文件制作</w:t>
      </w:r>
    </w:p>
    <w:p>
      <w:pPr>
        <w:rPr>
          <w:rFonts w:ascii="仿宋" w:hAnsi="仿宋" w:eastAsia="仿宋" w:cs="仿宋"/>
          <w:sz w:val="32"/>
          <w:szCs w:val="32"/>
        </w:rPr>
      </w:pPr>
      <w:r>
        <w:rPr>
          <w:rFonts w:hint="eastAsia" w:ascii="仿宋" w:hAnsi="仿宋" w:eastAsia="仿宋" w:cs="仿宋"/>
          <w:sz w:val="32"/>
          <w:szCs w:val="32"/>
        </w:rPr>
        <w:t>二、若选择需要发票信息，制作标书时进入到‘供应商发票’节点。</w:t>
      </w:r>
    </w:p>
    <w:p>
      <w:pPr>
        <w:rPr>
          <w:rFonts w:ascii="仿宋" w:hAnsi="仿宋" w:eastAsia="仿宋" w:cs="仿宋"/>
          <w:sz w:val="32"/>
          <w:szCs w:val="32"/>
        </w:rPr>
      </w:pPr>
      <w:r>
        <w:drawing>
          <wp:inline distT="0" distB="0" distL="114300" distR="114300">
            <wp:extent cx="5269865" cy="1588135"/>
            <wp:effectExtent l="0" t="0" r="317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9865" cy="1588135"/>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三、页面下点击‘挑选发票信息’，跳转进入GSN发票挑选页面，挑选发票信息，如下图。</w:t>
      </w:r>
    </w:p>
    <w:p>
      <w:r>
        <w:drawing>
          <wp:inline distT="0" distB="0" distL="114300" distR="114300">
            <wp:extent cx="5273040" cy="2922270"/>
            <wp:effectExtent l="0" t="0" r="0" b="381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1"/>
                    <a:stretch>
                      <a:fillRect/>
                    </a:stretch>
                  </pic:blipFill>
                  <pic:spPr>
                    <a:xfrm>
                      <a:off x="0" y="0"/>
                      <a:ext cx="5273040" cy="2922270"/>
                    </a:xfrm>
                    <a:prstGeom prst="rect">
                      <a:avLst/>
                    </a:prstGeom>
                    <a:noFill/>
                    <a:ln>
                      <a:noFill/>
                    </a:ln>
                  </pic:spPr>
                </pic:pic>
              </a:graphicData>
            </a:graphic>
          </wp:inline>
        </w:drawing>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输入或选择发票代码、发票票号、发票分类、开票日期、商品名条件后点击“查询”按钮，查询出符合条件的发票数据；勾选“未引用发票”列表下任意数据，点击“引用发票”按钮，即可将数据推送至“已引用发票”列表下，如下图。</w:t>
      </w:r>
    </w:p>
    <w:p>
      <w:r>
        <w:drawing>
          <wp:inline distT="0" distB="0" distL="114300" distR="114300">
            <wp:extent cx="5269865" cy="2866390"/>
            <wp:effectExtent l="0" t="0" r="3175" b="1397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2"/>
                    <a:stretch>
                      <a:fillRect/>
                    </a:stretch>
                  </pic:blipFill>
                  <pic:spPr>
                    <a:xfrm>
                      <a:off x="0" y="0"/>
                      <a:ext cx="5269865" cy="2866390"/>
                    </a:xfrm>
                    <a:prstGeom prst="rect">
                      <a:avLst/>
                    </a:prstGeom>
                    <a:noFill/>
                    <a:ln>
                      <a:noFill/>
                    </a:ln>
                  </pic:spPr>
                </pic:pic>
              </a:graphicData>
            </a:graphic>
          </wp:inline>
        </w:drawing>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需注意：维护第三方发票时，如未填写备注，点击“引用发票”按钮会弹框提示：“</w:t>
      </w:r>
      <w:r>
        <w:rPr>
          <w:rFonts w:hint="eastAsia" w:ascii="仿宋_GB2312" w:hAnsi="仿宋_GB2312" w:eastAsia="仿宋_GB2312" w:cs="仿宋_GB2312"/>
          <w:sz w:val="32"/>
          <w:szCs w:val="32"/>
        </w:rPr>
        <w:t>请维护第三方发票与贵单位的关系说明</w:t>
      </w:r>
      <w:r>
        <w:rPr>
          <w:rFonts w:hint="eastAsia" w:ascii="仿宋" w:hAnsi="仿宋" w:eastAsia="仿宋"/>
          <w:color w:val="000000" w:themeColor="text1"/>
          <w:sz w:val="32"/>
          <w:szCs w:val="32"/>
          <w14:textFill>
            <w14:solidFill>
              <w14:schemeClr w14:val="tx1"/>
            </w14:solidFill>
          </w14:textFill>
        </w:rPr>
        <w:t>”，填写备注后方可正常引用，如下图。</w:t>
      </w:r>
    </w:p>
    <w:p>
      <w:pPr>
        <w:rPr>
          <w:rFonts w:ascii="仿宋" w:hAnsi="仿宋" w:eastAsia="仿宋"/>
          <w:color w:val="000000" w:themeColor="text1"/>
          <w:sz w:val="32"/>
          <w:szCs w:val="32"/>
          <w14:textFill>
            <w14:solidFill>
              <w14:schemeClr w14:val="tx1"/>
            </w14:solidFill>
          </w14:textFill>
        </w:rPr>
      </w:pPr>
      <w:r>
        <w:drawing>
          <wp:inline distT="0" distB="0" distL="114300" distR="114300">
            <wp:extent cx="5273675" cy="1200150"/>
            <wp:effectExtent l="0" t="0" r="14605" b="381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3"/>
                    <a:stretch>
                      <a:fillRect/>
                    </a:stretch>
                  </pic:blipFill>
                  <pic:spPr>
                    <a:xfrm>
                      <a:off x="0" y="0"/>
                      <a:ext cx="5273675" cy="1200150"/>
                    </a:xfrm>
                    <a:prstGeom prst="rect">
                      <a:avLst/>
                    </a:prstGeom>
                    <a:noFill/>
                    <a:ln>
                      <a:noFill/>
                    </a:ln>
                  </pic:spPr>
                </pic:pic>
              </a:graphicData>
            </a:graphic>
          </wp:inline>
        </w:drawing>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点击“维护发票信息”按钮，页面跳转至发票维护页面，如下图。</w:t>
      </w:r>
    </w:p>
    <w:p>
      <w:r>
        <w:drawing>
          <wp:inline distT="0" distB="0" distL="114300" distR="114300">
            <wp:extent cx="5265420" cy="2821940"/>
            <wp:effectExtent l="0" t="0" r="7620" b="1270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4"/>
                    <a:stretch>
                      <a:fillRect/>
                    </a:stretch>
                  </pic:blipFill>
                  <pic:spPr>
                    <a:xfrm>
                      <a:off x="0" y="0"/>
                      <a:ext cx="5265420" cy="2821940"/>
                    </a:xfrm>
                    <a:prstGeom prst="rect">
                      <a:avLst/>
                    </a:prstGeom>
                    <a:noFill/>
                    <a:ln>
                      <a:noFill/>
                    </a:ln>
                  </pic:spPr>
                </pic:pic>
              </a:graphicData>
            </a:graphic>
          </wp:inline>
        </w:drawing>
      </w:r>
    </w:p>
    <w:p/>
    <w:p>
      <w:pPr>
        <w:numPr>
          <w:ilvl w:val="0"/>
          <w:numId w:val="6"/>
        </w:num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勾选“已引用发票”列表下任意数据，点击取消引用按钮，即可将数据推送至“未引用发票”列表下，后续评委在评标时，无法看到已取消引用的发票，如下图。</w:t>
      </w:r>
    </w:p>
    <w:p>
      <w:r>
        <w:drawing>
          <wp:inline distT="0" distB="0" distL="114300" distR="114300">
            <wp:extent cx="5269865" cy="3163570"/>
            <wp:effectExtent l="0" t="0" r="3175" b="635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5"/>
                    <a:stretch>
                      <a:fillRect/>
                    </a:stretch>
                  </pic:blipFill>
                  <pic:spPr>
                    <a:xfrm>
                      <a:off x="0" y="0"/>
                      <a:ext cx="5269865" cy="3163570"/>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四、完成发票信息挑选后，点击‘获取发票信息’，发票信息表中获取并排列展示所有选择的发票信息数据。若需要对发票进行新增或者删减，请重新挑选发票并重新获取发票信息。</w:t>
      </w:r>
    </w:p>
    <w:p>
      <w:pPr>
        <w:rPr>
          <w:rFonts w:ascii="仿宋" w:hAnsi="仿宋" w:eastAsia="仿宋" w:cs="仿宋"/>
          <w:sz w:val="32"/>
          <w:szCs w:val="32"/>
        </w:rPr>
      </w:pPr>
      <w:r>
        <w:drawing>
          <wp:inline distT="0" distB="0" distL="114300" distR="114300">
            <wp:extent cx="5273040" cy="1781175"/>
            <wp:effectExtent l="0" t="0" r="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6"/>
                    <a:stretch>
                      <a:fillRect/>
                    </a:stretch>
                  </pic:blipFill>
                  <pic:spPr>
                    <a:xfrm>
                      <a:off x="0" y="0"/>
                      <a:ext cx="5273040" cy="1781175"/>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五、完成其它结点文件制作（流程与原先无变化）</w:t>
      </w:r>
    </w:p>
    <w:p>
      <w:pPr>
        <w:rPr>
          <w:rFonts w:ascii="仿宋" w:hAnsi="仿宋" w:eastAsia="仿宋" w:cs="仿宋"/>
          <w:sz w:val="32"/>
          <w:szCs w:val="32"/>
        </w:rPr>
      </w:pPr>
      <w:r>
        <w:rPr>
          <w:rFonts w:hint="eastAsia" w:ascii="仿宋" w:hAnsi="仿宋" w:eastAsia="仿宋" w:cs="仿宋"/>
          <w:sz w:val="32"/>
          <w:szCs w:val="32"/>
        </w:rPr>
        <w:t>六、签章并生成最终投标文件（确认能否正常生成文件）</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004687"/>
    </w:sdtPr>
    <w:sdtContent>
      <w:p>
        <w:pPr>
          <w:pStyle w:val="7"/>
          <w:jc w:val="center"/>
        </w:pPr>
        <w:r>
          <w:fldChar w:fldCharType="begin"/>
        </w:r>
        <w:r>
          <w:instrText xml:space="preserve">PAGE   \* MERGEFORMAT</w:instrText>
        </w:r>
        <w:r>
          <w:fldChar w:fldCharType="separate"/>
        </w:r>
        <w:r>
          <w:rPr>
            <w:lang w:val="zh-CN"/>
          </w:rPr>
          <w:t>14</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1214F"/>
    <w:multiLevelType w:val="singleLevel"/>
    <w:tmpl w:val="8941214F"/>
    <w:lvl w:ilvl="0" w:tentative="0">
      <w:start w:val="3"/>
      <w:numFmt w:val="decimal"/>
      <w:lvlText w:val="%1."/>
      <w:lvlJc w:val="left"/>
      <w:pPr>
        <w:tabs>
          <w:tab w:val="left" w:pos="312"/>
        </w:tabs>
      </w:pPr>
    </w:lvl>
  </w:abstractNum>
  <w:abstractNum w:abstractNumId="1">
    <w:nsid w:val="A66DFA58"/>
    <w:multiLevelType w:val="singleLevel"/>
    <w:tmpl w:val="A66DFA58"/>
    <w:lvl w:ilvl="0" w:tentative="0">
      <w:start w:val="1"/>
      <w:numFmt w:val="chineseCounting"/>
      <w:suff w:val="nothing"/>
      <w:lvlText w:val="%1、"/>
      <w:lvlJc w:val="left"/>
      <w:rPr>
        <w:rFonts w:hint="eastAsia"/>
      </w:rPr>
    </w:lvl>
  </w:abstractNum>
  <w:abstractNum w:abstractNumId="2">
    <w:nsid w:val="F6DFB3A1"/>
    <w:multiLevelType w:val="singleLevel"/>
    <w:tmpl w:val="F6DFB3A1"/>
    <w:lvl w:ilvl="0" w:tentative="0">
      <w:start w:val="1"/>
      <w:numFmt w:val="chineseCounting"/>
      <w:suff w:val="nothing"/>
      <w:lvlText w:val="%1、"/>
      <w:lvlJc w:val="left"/>
      <w:pPr>
        <w:ind w:left="0" w:firstLine="420"/>
      </w:pPr>
      <w:rPr>
        <w:rFonts w:hint="eastAsia"/>
      </w:rPr>
    </w:lvl>
  </w:abstractNum>
  <w:abstractNum w:abstractNumId="3">
    <w:nsid w:val="5BDB31AC"/>
    <w:multiLevelType w:val="multilevel"/>
    <w:tmpl w:val="5BDB31AC"/>
    <w:lvl w:ilvl="0" w:tentative="0">
      <w:start w:val="1"/>
      <w:numFmt w:val="bullet"/>
      <w:lvlText w:val=""/>
      <w:lvlJc w:val="left"/>
      <w:pPr>
        <w:ind w:left="1063" w:hanging="420"/>
      </w:pPr>
      <w:rPr>
        <w:rFonts w:hint="default" w:ascii="Wingdings" w:hAnsi="Wingdings"/>
      </w:rPr>
    </w:lvl>
    <w:lvl w:ilvl="1" w:tentative="0">
      <w:start w:val="1"/>
      <w:numFmt w:val="bullet"/>
      <w:lvlText w:val=""/>
      <w:lvlJc w:val="left"/>
      <w:pPr>
        <w:ind w:left="1483" w:hanging="420"/>
      </w:pPr>
      <w:rPr>
        <w:rFonts w:hint="default" w:ascii="Wingdings" w:hAnsi="Wingdings"/>
      </w:rPr>
    </w:lvl>
    <w:lvl w:ilvl="2" w:tentative="0">
      <w:start w:val="1"/>
      <w:numFmt w:val="bullet"/>
      <w:lvlText w:val=""/>
      <w:lvlJc w:val="left"/>
      <w:pPr>
        <w:ind w:left="1903" w:hanging="420"/>
      </w:pPr>
      <w:rPr>
        <w:rFonts w:hint="default" w:ascii="Wingdings" w:hAnsi="Wingdings"/>
      </w:rPr>
    </w:lvl>
    <w:lvl w:ilvl="3" w:tentative="0">
      <w:start w:val="1"/>
      <w:numFmt w:val="bullet"/>
      <w:lvlText w:val=""/>
      <w:lvlJc w:val="left"/>
      <w:pPr>
        <w:ind w:left="2323" w:hanging="420"/>
      </w:pPr>
      <w:rPr>
        <w:rFonts w:hint="default" w:ascii="Wingdings" w:hAnsi="Wingdings"/>
      </w:rPr>
    </w:lvl>
    <w:lvl w:ilvl="4" w:tentative="0">
      <w:start w:val="1"/>
      <w:numFmt w:val="bullet"/>
      <w:lvlText w:val=""/>
      <w:lvlJc w:val="left"/>
      <w:pPr>
        <w:ind w:left="2743" w:hanging="420"/>
      </w:pPr>
      <w:rPr>
        <w:rFonts w:hint="default" w:ascii="Wingdings" w:hAnsi="Wingdings"/>
      </w:rPr>
    </w:lvl>
    <w:lvl w:ilvl="5" w:tentative="0">
      <w:start w:val="1"/>
      <w:numFmt w:val="bullet"/>
      <w:lvlText w:val=""/>
      <w:lvlJc w:val="left"/>
      <w:pPr>
        <w:ind w:left="3163" w:hanging="420"/>
      </w:pPr>
      <w:rPr>
        <w:rFonts w:hint="default" w:ascii="Wingdings" w:hAnsi="Wingdings"/>
      </w:rPr>
    </w:lvl>
    <w:lvl w:ilvl="6" w:tentative="0">
      <w:start w:val="1"/>
      <w:numFmt w:val="bullet"/>
      <w:lvlText w:val=""/>
      <w:lvlJc w:val="left"/>
      <w:pPr>
        <w:ind w:left="3583" w:hanging="420"/>
      </w:pPr>
      <w:rPr>
        <w:rFonts w:hint="default" w:ascii="Wingdings" w:hAnsi="Wingdings"/>
      </w:rPr>
    </w:lvl>
    <w:lvl w:ilvl="7" w:tentative="0">
      <w:start w:val="1"/>
      <w:numFmt w:val="bullet"/>
      <w:lvlText w:val=""/>
      <w:lvlJc w:val="left"/>
      <w:pPr>
        <w:ind w:left="4003" w:hanging="420"/>
      </w:pPr>
      <w:rPr>
        <w:rFonts w:hint="default" w:ascii="Wingdings" w:hAnsi="Wingdings"/>
      </w:rPr>
    </w:lvl>
    <w:lvl w:ilvl="8" w:tentative="0">
      <w:start w:val="1"/>
      <w:numFmt w:val="bullet"/>
      <w:lvlText w:val=""/>
      <w:lvlJc w:val="left"/>
      <w:pPr>
        <w:ind w:left="4423" w:hanging="420"/>
      </w:pPr>
      <w:rPr>
        <w:rFonts w:hint="default" w:ascii="Wingdings" w:hAnsi="Wingdings"/>
      </w:rPr>
    </w:lvl>
  </w:abstractNum>
  <w:abstractNum w:abstractNumId="4">
    <w:nsid w:val="62158B23"/>
    <w:multiLevelType w:val="singleLevel"/>
    <w:tmpl w:val="62158B23"/>
    <w:lvl w:ilvl="0" w:tentative="0">
      <w:start w:val="1"/>
      <w:numFmt w:val="bullet"/>
      <w:lvlText w:val=""/>
      <w:lvlJc w:val="left"/>
      <w:pPr>
        <w:ind w:left="420" w:hanging="420"/>
      </w:pPr>
      <w:rPr>
        <w:rFonts w:hint="default" w:ascii="Wingdings" w:hAnsi="Wingdings"/>
      </w:rPr>
    </w:lvl>
  </w:abstractNum>
  <w:abstractNum w:abstractNumId="5">
    <w:nsid w:val="77927648"/>
    <w:multiLevelType w:val="multilevel"/>
    <w:tmpl w:val="7792764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3YTI1Y2UwZmEzODRiN2NlYzhlOTRkYjYzZDMyMzcifQ=="/>
  </w:docVars>
  <w:rsids>
    <w:rsidRoot w:val="00560727"/>
    <w:rsid w:val="0000709C"/>
    <w:rsid w:val="000344FB"/>
    <w:rsid w:val="00041C06"/>
    <w:rsid w:val="00042E00"/>
    <w:rsid w:val="000524BB"/>
    <w:rsid w:val="00062692"/>
    <w:rsid w:val="000639B1"/>
    <w:rsid w:val="000C6A54"/>
    <w:rsid w:val="000D017F"/>
    <w:rsid w:val="00147F15"/>
    <w:rsid w:val="001511DE"/>
    <w:rsid w:val="001775F9"/>
    <w:rsid w:val="00177969"/>
    <w:rsid w:val="00184DE2"/>
    <w:rsid w:val="0019284A"/>
    <w:rsid w:val="0019314F"/>
    <w:rsid w:val="00194985"/>
    <w:rsid w:val="001976F0"/>
    <w:rsid w:val="001B03B5"/>
    <w:rsid w:val="001B748A"/>
    <w:rsid w:val="001D67C7"/>
    <w:rsid w:val="001F36B8"/>
    <w:rsid w:val="00210F37"/>
    <w:rsid w:val="00216B90"/>
    <w:rsid w:val="00224F22"/>
    <w:rsid w:val="0022508E"/>
    <w:rsid w:val="0022511D"/>
    <w:rsid w:val="00234859"/>
    <w:rsid w:val="002434CE"/>
    <w:rsid w:val="00253943"/>
    <w:rsid w:val="002801C5"/>
    <w:rsid w:val="002B497F"/>
    <w:rsid w:val="002E0E4F"/>
    <w:rsid w:val="002F0783"/>
    <w:rsid w:val="0030015F"/>
    <w:rsid w:val="003077FC"/>
    <w:rsid w:val="00321318"/>
    <w:rsid w:val="00330A64"/>
    <w:rsid w:val="00331E3C"/>
    <w:rsid w:val="003438C8"/>
    <w:rsid w:val="00343B97"/>
    <w:rsid w:val="00354B38"/>
    <w:rsid w:val="00374DA0"/>
    <w:rsid w:val="003A459C"/>
    <w:rsid w:val="003B00CD"/>
    <w:rsid w:val="003C15F3"/>
    <w:rsid w:val="003C45C3"/>
    <w:rsid w:val="003F1D43"/>
    <w:rsid w:val="0040701A"/>
    <w:rsid w:val="004543BD"/>
    <w:rsid w:val="004638FB"/>
    <w:rsid w:val="00475B19"/>
    <w:rsid w:val="0047660B"/>
    <w:rsid w:val="0048554A"/>
    <w:rsid w:val="004951F7"/>
    <w:rsid w:val="004A0486"/>
    <w:rsid w:val="004A0AED"/>
    <w:rsid w:val="004D7181"/>
    <w:rsid w:val="004E1B17"/>
    <w:rsid w:val="004F7D44"/>
    <w:rsid w:val="00504F28"/>
    <w:rsid w:val="005139AF"/>
    <w:rsid w:val="00530F56"/>
    <w:rsid w:val="00537314"/>
    <w:rsid w:val="00537D57"/>
    <w:rsid w:val="00542033"/>
    <w:rsid w:val="00546DF1"/>
    <w:rsid w:val="00550BBF"/>
    <w:rsid w:val="00560727"/>
    <w:rsid w:val="00567CC1"/>
    <w:rsid w:val="005728EE"/>
    <w:rsid w:val="00572C27"/>
    <w:rsid w:val="0057733C"/>
    <w:rsid w:val="005A0174"/>
    <w:rsid w:val="005A142F"/>
    <w:rsid w:val="005F6C29"/>
    <w:rsid w:val="006172F0"/>
    <w:rsid w:val="00636EFB"/>
    <w:rsid w:val="0065064C"/>
    <w:rsid w:val="0065659A"/>
    <w:rsid w:val="006600B4"/>
    <w:rsid w:val="00663EA3"/>
    <w:rsid w:val="00676D62"/>
    <w:rsid w:val="006861B3"/>
    <w:rsid w:val="006960CF"/>
    <w:rsid w:val="006973AE"/>
    <w:rsid w:val="006A3A7C"/>
    <w:rsid w:val="0070728F"/>
    <w:rsid w:val="007116E3"/>
    <w:rsid w:val="00711764"/>
    <w:rsid w:val="007267AD"/>
    <w:rsid w:val="0078072A"/>
    <w:rsid w:val="00784441"/>
    <w:rsid w:val="0078456F"/>
    <w:rsid w:val="007933ED"/>
    <w:rsid w:val="007A50AB"/>
    <w:rsid w:val="007A64CF"/>
    <w:rsid w:val="007D5C9B"/>
    <w:rsid w:val="007F1DA1"/>
    <w:rsid w:val="007F3365"/>
    <w:rsid w:val="007F43B1"/>
    <w:rsid w:val="008042D2"/>
    <w:rsid w:val="00807C95"/>
    <w:rsid w:val="008305C4"/>
    <w:rsid w:val="008549FB"/>
    <w:rsid w:val="008602E7"/>
    <w:rsid w:val="00880186"/>
    <w:rsid w:val="00880A89"/>
    <w:rsid w:val="008833B9"/>
    <w:rsid w:val="00885223"/>
    <w:rsid w:val="0089365F"/>
    <w:rsid w:val="008A36E4"/>
    <w:rsid w:val="008A5C26"/>
    <w:rsid w:val="008C4C05"/>
    <w:rsid w:val="008C742C"/>
    <w:rsid w:val="008D10EE"/>
    <w:rsid w:val="008D377D"/>
    <w:rsid w:val="008D3AE4"/>
    <w:rsid w:val="008F5F47"/>
    <w:rsid w:val="009043A8"/>
    <w:rsid w:val="009113D1"/>
    <w:rsid w:val="009133E9"/>
    <w:rsid w:val="009215F6"/>
    <w:rsid w:val="00953F86"/>
    <w:rsid w:val="0097049B"/>
    <w:rsid w:val="00970789"/>
    <w:rsid w:val="00975B5C"/>
    <w:rsid w:val="00992617"/>
    <w:rsid w:val="00994840"/>
    <w:rsid w:val="009B0482"/>
    <w:rsid w:val="009B36D0"/>
    <w:rsid w:val="009C2018"/>
    <w:rsid w:val="009C45FD"/>
    <w:rsid w:val="009C4D01"/>
    <w:rsid w:val="009C64A4"/>
    <w:rsid w:val="009D2015"/>
    <w:rsid w:val="009D63F7"/>
    <w:rsid w:val="009F5A3F"/>
    <w:rsid w:val="00A017AE"/>
    <w:rsid w:val="00A265B5"/>
    <w:rsid w:val="00A3034C"/>
    <w:rsid w:val="00A37484"/>
    <w:rsid w:val="00A40E79"/>
    <w:rsid w:val="00A47F3A"/>
    <w:rsid w:val="00A6767F"/>
    <w:rsid w:val="00A74CD4"/>
    <w:rsid w:val="00A75FAF"/>
    <w:rsid w:val="00A779A4"/>
    <w:rsid w:val="00A8193E"/>
    <w:rsid w:val="00A94844"/>
    <w:rsid w:val="00AB172E"/>
    <w:rsid w:val="00AB3133"/>
    <w:rsid w:val="00AE079D"/>
    <w:rsid w:val="00AF6EBE"/>
    <w:rsid w:val="00B040DE"/>
    <w:rsid w:val="00B12C13"/>
    <w:rsid w:val="00B20935"/>
    <w:rsid w:val="00B22C4B"/>
    <w:rsid w:val="00B34898"/>
    <w:rsid w:val="00B36F4C"/>
    <w:rsid w:val="00B450E7"/>
    <w:rsid w:val="00B638B8"/>
    <w:rsid w:val="00B717DB"/>
    <w:rsid w:val="00B73A80"/>
    <w:rsid w:val="00B74698"/>
    <w:rsid w:val="00B809ED"/>
    <w:rsid w:val="00B8611B"/>
    <w:rsid w:val="00B8754D"/>
    <w:rsid w:val="00B90FE7"/>
    <w:rsid w:val="00B95A87"/>
    <w:rsid w:val="00B96B37"/>
    <w:rsid w:val="00BA2CEC"/>
    <w:rsid w:val="00BA4ED4"/>
    <w:rsid w:val="00BC5389"/>
    <w:rsid w:val="00BE209E"/>
    <w:rsid w:val="00BF19A3"/>
    <w:rsid w:val="00C2065F"/>
    <w:rsid w:val="00C320C9"/>
    <w:rsid w:val="00C517D6"/>
    <w:rsid w:val="00C6129D"/>
    <w:rsid w:val="00C83309"/>
    <w:rsid w:val="00C91D6C"/>
    <w:rsid w:val="00CA2BA4"/>
    <w:rsid w:val="00CA5805"/>
    <w:rsid w:val="00CC5FE0"/>
    <w:rsid w:val="00CD3112"/>
    <w:rsid w:val="00CD3222"/>
    <w:rsid w:val="00CD4E85"/>
    <w:rsid w:val="00CE4DA4"/>
    <w:rsid w:val="00CE7A98"/>
    <w:rsid w:val="00CE7BA6"/>
    <w:rsid w:val="00D153CB"/>
    <w:rsid w:val="00D35EA3"/>
    <w:rsid w:val="00D55BEC"/>
    <w:rsid w:val="00D560E6"/>
    <w:rsid w:val="00D57B41"/>
    <w:rsid w:val="00D64051"/>
    <w:rsid w:val="00D76331"/>
    <w:rsid w:val="00D766D6"/>
    <w:rsid w:val="00D80A35"/>
    <w:rsid w:val="00D8207B"/>
    <w:rsid w:val="00D9014A"/>
    <w:rsid w:val="00DA021E"/>
    <w:rsid w:val="00DA35C5"/>
    <w:rsid w:val="00DB6493"/>
    <w:rsid w:val="00DD39A7"/>
    <w:rsid w:val="00DF75BE"/>
    <w:rsid w:val="00E1586E"/>
    <w:rsid w:val="00E337EA"/>
    <w:rsid w:val="00E36589"/>
    <w:rsid w:val="00E600B3"/>
    <w:rsid w:val="00E625D9"/>
    <w:rsid w:val="00E67C75"/>
    <w:rsid w:val="00E7132F"/>
    <w:rsid w:val="00E85609"/>
    <w:rsid w:val="00E946D3"/>
    <w:rsid w:val="00E97C49"/>
    <w:rsid w:val="00EB261D"/>
    <w:rsid w:val="00EB4820"/>
    <w:rsid w:val="00EC16EA"/>
    <w:rsid w:val="00EC6775"/>
    <w:rsid w:val="00ED17AB"/>
    <w:rsid w:val="00EE6245"/>
    <w:rsid w:val="00EE710F"/>
    <w:rsid w:val="00F06A38"/>
    <w:rsid w:val="00F106EC"/>
    <w:rsid w:val="00F23EFA"/>
    <w:rsid w:val="00F40720"/>
    <w:rsid w:val="00F46391"/>
    <w:rsid w:val="00F509B1"/>
    <w:rsid w:val="00F57CB4"/>
    <w:rsid w:val="00F74E2C"/>
    <w:rsid w:val="00F80A76"/>
    <w:rsid w:val="00FB1F18"/>
    <w:rsid w:val="00FD3602"/>
    <w:rsid w:val="00FF6351"/>
    <w:rsid w:val="01067C6D"/>
    <w:rsid w:val="0128290D"/>
    <w:rsid w:val="01646F8E"/>
    <w:rsid w:val="01EC102A"/>
    <w:rsid w:val="01FF58AD"/>
    <w:rsid w:val="030136C0"/>
    <w:rsid w:val="031C3B6F"/>
    <w:rsid w:val="0505520B"/>
    <w:rsid w:val="05992857"/>
    <w:rsid w:val="07561E9E"/>
    <w:rsid w:val="08161CBF"/>
    <w:rsid w:val="09122ACE"/>
    <w:rsid w:val="09220E90"/>
    <w:rsid w:val="0942215E"/>
    <w:rsid w:val="0B604AA9"/>
    <w:rsid w:val="0C237304"/>
    <w:rsid w:val="0C8B0A57"/>
    <w:rsid w:val="0D2053C2"/>
    <w:rsid w:val="0E154D03"/>
    <w:rsid w:val="0EBE0684"/>
    <w:rsid w:val="0F5E6F08"/>
    <w:rsid w:val="102168A8"/>
    <w:rsid w:val="103C7F37"/>
    <w:rsid w:val="121E26CC"/>
    <w:rsid w:val="135B526F"/>
    <w:rsid w:val="147B43F7"/>
    <w:rsid w:val="15100AD1"/>
    <w:rsid w:val="1555619C"/>
    <w:rsid w:val="165B7277"/>
    <w:rsid w:val="167E1D0C"/>
    <w:rsid w:val="16F9736F"/>
    <w:rsid w:val="17617A9C"/>
    <w:rsid w:val="187D6AC4"/>
    <w:rsid w:val="1B01062B"/>
    <w:rsid w:val="1CC73F91"/>
    <w:rsid w:val="1CCE227A"/>
    <w:rsid w:val="23FE24D3"/>
    <w:rsid w:val="25632E43"/>
    <w:rsid w:val="25AF75F5"/>
    <w:rsid w:val="2CB60BD7"/>
    <w:rsid w:val="2D5D6C0F"/>
    <w:rsid w:val="2E471C27"/>
    <w:rsid w:val="2E571828"/>
    <w:rsid w:val="2E745C0A"/>
    <w:rsid w:val="2EDD29A0"/>
    <w:rsid w:val="307733A4"/>
    <w:rsid w:val="311A0AAB"/>
    <w:rsid w:val="313276C9"/>
    <w:rsid w:val="318E75E0"/>
    <w:rsid w:val="33055E42"/>
    <w:rsid w:val="348A102E"/>
    <w:rsid w:val="3A803FB0"/>
    <w:rsid w:val="3BEE5976"/>
    <w:rsid w:val="3FC47810"/>
    <w:rsid w:val="40214DED"/>
    <w:rsid w:val="409721AA"/>
    <w:rsid w:val="40C96A29"/>
    <w:rsid w:val="41291A5A"/>
    <w:rsid w:val="454B080A"/>
    <w:rsid w:val="49197D94"/>
    <w:rsid w:val="49A2582C"/>
    <w:rsid w:val="4D0B6349"/>
    <w:rsid w:val="4DC62DCD"/>
    <w:rsid w:val="4E9F28A2"/>
    <w:rsid w:val="4F221AD5"/>
    <w:rsid w:val="53541A09"/>
    <w:rsid w:val="53CF1EAF"/>
    <w:rsid w:val="55BA7346"/>
    <w:rsid w:val="563D30F2"/>
    <w:rsid w:val="566F2662"/>
    <w:rsid w:val="58F613CC"/>
    <w:rsid w:val="5A30548B"/>
    <w:rsid w:val="5AD654AB"/>
    <w:rsid w:val="5D771BA2"/>
    <w:rsid w:val="5D7E24BC"/>
    <w:rsid w:val="5DFB01A4"/>
    <w:rsid w:val="5FE35365"/>
    <w:rsid w:val="60941943"/>
    <w:rsid w:val="60E22497"/>
    <w:rsid w:val="613934F0"/>
    <w:rsid w:val="62875B7C"/>
    <w:rsid w:val="62974C77"/>
    <w:rsid w:val="63782678"/>
    <w:rsid w:val="67E6499B"/>
    <w:rsid w:val="697C2AF8"/>
    <w:rsid w:val="69B37CC5"/>
    <w:rsid w:val="6A0925B0"/>
    <w:rsid w:val="6B6B51EA"/>
    <w:rsid w:val="70506753"/>
    <w:rsid w:val="71476F96"/>
    <w:rsid w:val="71CA1559"/>
    <w:rsid w:val="71D57E13"/>
    <w:rsid w:val="734531E9"/>
    <w:rsid w:val="74194FE7"/>
    <w:rsid w:val="74C82B8C"/>
    <w:rsid w:val="751E5358"/>
    <w:rsid w:val="76E43E77"/>
    <w:rsid w:val="77B61B39"/>
    <w:rsid w:val="79DD4B18"/>
    <w:rsid w:val="7AFF3B7C"/>
    <w:rsid w:val="7C256CBF"/>
    <w:rsid w:val="7EBE0014"/>
    <w:rsid w:val="7F840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0"/>
    <w:pPr>
      <w:keepNext/>
      <w:keepLines/>
      <w:spacing w:before="340" w:after="330" w:line="576" w:lineRule="auto"/>
      <w:outlineLvl w:val="0"/>
    </w:pPr>
    <w:rPr>
      <w:b/>
      <w:kern w:val="44"/>
      <w:sz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1"/>
    <w:semiHidden/>
    <w:unhideWhenUsed/>
    <w:qFormat/>
    <w:uiPriority w:val="99"/>
    <w:pPr>
      <w:spacing w:after="120"/>
    </w:pPr>
  </w:style>
  <w:style w:type="paragraph" w:styleId="6">
    <w:name w:val="toc 3"/>
    <w:basedOn w:val="1"/>
    <w:next w:val="1"/>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8296"/>
      </w:tabs>
    </w:pPr>
  </w:style>
  <w:style w:type="paragraph" w:styleId="10">
    <w:name w:val="toc 2"/>
    <w:basedOn w:val="1"/>
    <w:next w:val="1"/>
    <w:unhideWhenUsed/>
    <w:qFormat/>
    <w:uiPriority w:val="39"/>
    <w:pPr>
      <w:ind w:left="420" w:leftChars="200"/>
    </w:pPr>
  </w:style>
  <w:style w:type="paragraph" w:styleId="11">
    <w:name w:val="Body Text First Indent"/>
    <w:basedOn w:val="5"/>
    <w:link w:val="22"/>
    <w:semiHidden/>
    <w:unhideWhenUsed/>
    <w:qFormat/>
    <w:uiPriority w:val="99"/>
    <w:pPr>
      <w:ind w:firstLine="420" w:firstLineChars="100"/>
    </w:pPr>
  </w:style>
  <w:style w:type="character" w:styleId="14">
    <w:name w:val="Hyperlink"/>
    <w:basedOn w:val="13"/>
    <w:qFormat/>
    <w:uiPriority w:val="99"/>
    <w:rPr>
      <w:color w:val="0000FF"/>
      <w:u w:val="single"/>
    </w:rPr>
  </w:style>
  <w:style w:type="character" w:customStyle="1" w:styleId="15">
    <w:name w:val="页眉 Char"/>
    <w:basedOn w:val="13"/>
    <w:link w:val="8"/>
    <w:qFormat/>
    <w:uiPriority w:val="99"/>
    <w:rPr>
      <w:sz w:val="18"/>
      <w:szCs w:val="18"/>
    </w:rPr>
  </w:style>
  <w:style w:type="character" w:customStyle="1" w:styleId="16">
    <w:name w:val="页脚 Char"/>
    <w:basedOn w:val="13"/>
    <w:link w:val="7"/>
    <w:qFormat/>
    <w:uiPriority w:val="99"/>
    <w:rPr>
      <w:sz w:val="18"/>
      <w:szCs w:val="18"/>
    </w:rPr>
  </w:style>
  <w:style w:type="character" w:customStyle="1" w:styleId="17">
    <w:name w:val="标题 1 Char"/>
    <w:basedOn w:val="13"/>
    <w:link w:val="2"/>
    <w:qFormat/>
    <w:uiPriority w:val="0"/>
    <w:rPr>
      <w:b/>
      <w:kern w:val="44"/>
      <w:sz w:val="44"/>
    </w:rPr>
  </w:style>
  <w:style w:type="character" w:customStyle="1" w:styleId="18">
    <w:name w:val="标题 2 Char"/>
    <w:basedOn w:val="13"/>
    <w:link w:val="3"/>
    <w:qFormat/>
    <w:uiPriority w:val="9"/>
    <w:rPr>
      <w:rFonts w:asciiTheme="majorHAnsi" w:hAnsiTheme="majorHAnsi" w:eastAsiaTheme="majorEastAsia" w:cstheme="majorBidi"/>
      <w:b/>
      <w:bCs/>
      <w:sz w:val="32"/>
      <w:szCs w:val="32"/>
    </w:rPr>
  </w:style>
  <w:style w:type="paragraph" w:customStyle="1" w:styleId="19">
    <w:name w:val="正文仿宋三号"/>
    <w:basedOn w:val="11"/>
    <w:qFormat/>
    <w:uiPriority w:val="0"/>
    <w:pPr>
      <w:wordWrap w:val="0"/>
      <w:spacing w:before="120"/>
      <w:ind w:firstLine="200" w:firstLineChars="200"/>
      <w:contextualSpacing/>
    </w:pPr>
    <w:rPr>
      <w:rFonts w:ascii="Times New Roman" w:hAnsi="Times New Roman" w:eastAsia="仿宋" w:cs="Times New Roman"/>
      <w:sz w:val="32"/>
      <w:szCs w:val="21"/>
    </w:rPr>
  </w:style>
  <w:style w:type="paragraph" w:styleId="20">
    <w:name w:val="List Paragraph"/>
    <w:basedOn w:val="1"/>
    <w:qFormat/>
    <w:uiPriority w:val="34"/>
    <w:pPr>
      <w:ind w:firstLine="420" w:firstLineChars="200"/>
    </w:pPr>
  </w:style>
  <w:style w:type="character" w:customStyle="1" w:styleId="21">
    <w:name w:val="正文文本 Char"/>
    <w:basedOn w:val="13"/>
    <w:link w:val="5"/>
    <w:semiHidden/>
    <w:qFormat/>
    <w:uiPriority w:val="99"/>
  </w:style>
  <w:style w:type="character" w:customStyle="1" w:styleId="22">
    <w:name w:val="正文首行缩进 Char"/>
    <w:basedOn w:val="21"/>
    <w:link w:val="11"/>
    <w:semiHidden/>
    <w:qFormat/>
    <w:uiPriority w:val="99"/>
  </w:style>
  <w:style w:type="character" w:customStyle="1" w:styleId="23">
    <w:name w:val="标题 3 Char"/>
    <w:basedOn w:val="13"/>
    <w:link w:val="4"/>
    <w:qFormat/>
    <w:uiPriority w:val="9"/>
    <w:rPr>
      <w:b/>
      <w:bCs/>
      <w:sz w:val="32"/>
      <w:szCs w:val="32"/>
    </w:rPr>
  </w:style>
  <w:style w:type="paragraph" w:customStyle="1" w:styleId="24">
    <w:name w:val="正文1"/>
    <w:qFormat/>
    <w:uiPriority w:val="0"/>
    <w:pPr>
      <w:spacing w:line="540" w:lineRule="exact"/>
      <w:ind w:firstLine="200" w:firstLineChars="200"/>
      <w:contextualSpacing/>
    </w:pPr>
    <w:rPr>
      <w:rFonts w:ascii="仿宋" w:hAnsi="仿宋" w:eastAsia="仿宋" w:cs="Times New Roman"/>
      <w:kern w:val="2"/>
      <w:sz w:val="24"/>
      <w:szCs w:val="24"/>
      <w:lang w:val="en-US" w:eastAsia="zh-CN" w:bidi="ar-SA"/>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7B9BC-0B16-4FF7-8315-6A762E868970}">
  <ds:schemaRefs/>
</ds:datastoreItem>
</file>

<file path=docProps/app.xml><?xml version="1.0" encoding="utf-8"?>
<Properties xmlns="http://schemas.openxmlformats.org/officeDocument/2006/extended-properties" xmlns:vt="http://schemas.openxmlformats.org/officeDocument/2006/docPropsVTypes">
  <Template>Normal</Template>
  <Company>Sinopec</Company>
  <Pages>14</Pages>
  <Words>316</Words>
  <Characters>1804</Characters>
  <Lines>15</Lines>
  <Paragraphs>4</Paragraphs>
  <TotalTime>5</TotalTime>
  <ScaleCrop>false</ScaleCrop>
  <LinksUpToDate>false</LinksUpToDate>
  <CharactersWithSpaces>2116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2022-07-04T07:27:00Z</dcterms:created>
  <dc:creator>耿 国辉</dc:creator>
  <cp:lastModifiedBy>Lenovo</cp:lastModifiedBy>
  <dcterms:modified xsi:type="dcterms:W3CDTF">2022-07-04T07:36:45Z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7B42846DD8CD405D9D1FC0957FD68A5F</vt:lpwstr>
  </property>
</Properties>
</file>